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60" w:after="260" w:line="360" w:lineRule="auto"/>
        <w:ind w:left="-708" w:leftChars="-295" w:right="-624" w:rightChars="-260"/>
        <w:jc w:val="center"/>
        <w:rPr>
          <w:rFonts w:ascii="宋体" w:hAnsi="宋体"/>
          <w:b/>
          <w:sz w:val="52"/>
          <w:szCs w:val="52"/>
        </w:rPr>
      </w:pPr>
      <w:bookmarkStart w:id="0" w:name="_Hlk92297300"/>
      <w:bookmarkStart w:id="1" w:name="_Hlk92293229"/>
    </w:p>
    <w:p>
      <w:pPr>
        <w:jc w:val="center"/>
        <w:rPr>
          <w:rFonts w:ascii="宋体" w:hAnsi="宋体"/>
          <w:b/>
          <w:sz w:val="52"/>
          <w:szCs w:val="52"/>
        </w:rPr>
      </w:pPr>
      <w:bookmarkStart w:id="2" w:name="_Hlk92291570"/>
      <w:bookmarkStart w:id="3" w:name="_Hlk92291084"/>
      <w:r>
        <w:rPr>
          <w:rFonts w:hint="eastAsia" w:ascii="宋体" w:hAnsi="宋体"/>
          <w:b/>
          <w:sz w:val="52"/>
          <w:szCs w:val="52"/>
        </w:rPr>
        <w:t>国管局2022年度中央行政事业单位</w:t>
      </w:r>
    </w:p>
    <w:p>
      <w:pPr>
        <w:spacing w:before="260" w:after="260" w:line="360" w:lineRule="auto"/>
        <w:ind w:left="-708" w:leftChars="-295" w:right="-624" w:rightChars="-260"/>
        <w:jc w:val="center"/>
        <w:rPr>
          <w:rFonts w:ascii="宋体" w:hAnsi="宋体"/>
          <w:b/>
          <w:sz w:val="52"/>
          <w:szCs w:val="52"/>
        </w:rPr>
      </w:pPr>
      <w:r>
        <w:rPr>
          <w:rFonts w:hint="eastAsia" w:ascii="宋体" w:hAnsi="宋体"/>
          <w:b/>
          <w:sz w:val="52"/>
          <w:szCs w:val="52"/>
        </w:rPr>
        <w:t>房屋资产统计报表用户手册</w:t>
      </w:r>
    </w:p>
    <w:bookmarkEnd w:id="2"/>
    <w:p>
      <w:pPr>
        <w:jc w:val="center"/>
        <w:rPr>
          <w:rFonts w:ascii="宋体" w:hAnsi="宋体"/>
          <w:b/>
          <w:sz w:val="28"/>
          <w:szCs w:val="32"/>
        </w:rPr>
      </w:pPr>
    </w:p>
    <w:p>
      <w:pPr>
        <w:jc w:val="center"/>
        <w:rPr>
          <w:rFonts w:ascii="宋体" w:hAnsi="宋体"/>
          <w:b/>
          <w:sz w:val="28"/>
          <w:szCs w:val="32"/>
        </w:rPr>
      </w:pPr>
      <w:bookmarkStart w:id="28" w:name="_GoBack"/>
      <w:bookmarkEnd w:id="28"/>
    </w:p>
    <w:p>
      <w:pPr>
        <w:jc w:val="center"/>
        <w:rPr>
          <w:rFonts w:ascii="宋体" w:hAnsi="宋体"/>
          <w:b/>
          <w:sz w:val="28"/>
          <w:szCs w:val="32"/>
        </w:rPr>
      </w:pPr>
    </w:p>
    <w:p>
      <w:pPr>
        <w:jc w:val="center"/>
        <w:rPr>
          <w:rFonts w:ascii="宋体" w:hAnsi="宋体"/>
          <w:b/>
          <w:sz w:val="28"/>
          <w:szCs w:val="32"/>
        </w:rPr>
      </w:pPr>
    </w:p>
    <w:p>
      <w:pPr>
        <w:jc w:val="center"/>
        <w:rPr>
          <w:rFonts w:ascii="宋体" w:hAnsi="宋体"/>
          <w:b/>
          <w:sz w:val="28"/>
          <w:szCs w:val="32"/>
        </w:rPr>
      </w:pPr>
    </w:p>
    <w:p>
      <w:pPr>
        <w:jc w:val="center"/>
        <w:rPr>
          <w:rFonts w:ascii="宋体" w:hAnsi="宋体"/>
          <w:b/>
          <w:sz w:val="28"/>
          <w:szCs w:val="32"/>
        </w:rPr>
      </w:pPr>
    </w:p>
    <w:p>
      <w:pPr>
        <w:jc w:val="center"/>
        <w:rPr>
          <w:rFonts w:ascii="宋体" w:hAnsi="宋体"/>
          <w:b/>
          <w:sz w:val="28"/>
          <w:szCs w:val="32"/>
        </w:rPr>
      </w:pPr>
    </w:p>
    <w:p>
      <w:pPr>
        <w:jc w:val="center"/>
        <w:rPr>
          <w:rFonts w:ascii="宋体" w:hAnsi="宋体"/>
          <w:b/>
          <w:sz w:val="28"/>
          <w:szCs w:val="32"/>
        </w:rPr>
      </w:pPr>
    </w:p>
    <w:p>
      <w:pPr>
        <w:jc w:val="center"/>
        <w:rPr>
          <w:rFonts w:ascii="宋体" w:hAnsi="宋体"/>
          <w:b/>
          <w:sz w:val="28"/>
          <w:szCs w:val="32"/>
        </w:rPr>
      </w:pPr>
    </w:p>
    <w:p>
      <w:pPr>
        <w:jc w:val="center"/>
        <w:rPr>
          <w:rFonts w:ascii="宋体" w:hAnsi="宋体"/>
          <w:b/>
          <w:sz w:val="28"/>
          <w:szCs w:val="32"/>
        </w:rPr>
      </w:pPr>
      <w:r>
        <w:rPr>
          <w:rFonts w:hint="eastAsia" w:ascii="宋体" w:hAnsi="宋体"/>
          <w:b/>
          <w:sz w:val="28"/>
          <w:szCs w:val="32"/>
        </w:rPr>
        <w:t>国务院机关事务管理局</w:t>
      </w:r>
    </w:p>
    <w:p>
      <w:pPr>
        <w:jc w:val="center"/>
        <w:rPr>
          <w:rFonts w:ascii="宋体" w:hAnsi="宋体"/>
          <w:b/>
          <w:sz w:val="28"/>
          <w:szCs w:val="32"/>
        </w:rPr>
      </w:pPr>
    </w:p>
    <w:p>
      <w:pPr>
        <w:jc w:val="center"/>
        <w:rPr>
          <w:rFonts w:ascii="宋体" w:hAnsi="宋体"/>
          <w:b/>
          <w:sz w:val="28"/>
          <w:szCs w:val="32"/>
        </w:rPr>
      </w:pPr>
      <w:bookmarkStart w:id="4" w:name="_Hlk92291580"/>
      <w:r>
        <w:rPr>
          <w:rFonts w:ascii="宋体" w:hAnsi="宋体"/>
          <w:b/>
          <w:sz w:val="28"/>
          <w:szCs w:val="32"/>
        </w:rPr>
        <w:t>二零</w:t>
      </w:r>
      <w:r>
        <w:rPr>
          <w:rFonts w:hint="eastAsia" w:ascii="宋体" w:hAnsi="宋体"/>
          <w:b/>
          <w:sz w:val="28"/>
          <w:szCs w:val="32"/>
        </w:rPr>
        <w:t>二三年二月</w:t>
      </w:r>
      <w:bookmarkEnd w:id="0"/>
    </w:p>
    <w:bookmarkEnd w:id="1"/>
    <w:bookmarkEnd w:id="3"/>
    <w:bookmarkEnd w:id="4"/>
    <w:p/>
    <w:p/>
    <w:p/>
    <w:p/>
    <w:sdt>
      <w:sdtPr>
        <w:rPr>
          <w:rFonts w:eastAsia="仿宋" w:asciiTheme="minorHAnsi" w:hAnsiTheme="minorHAnsi" w:cstheme="minorBidi"/>
          <w:color w:val="auto"/>
          <w:kern w:val="2"/>
          <w:sz w:val="24"/>
          <w:szCs w:val="22"/>
          <w:lang w:val="zh-CN"/>
        </w:rPr>
        <w:id w:val="997006925"/>
        <w:docPartObj>
          <w:docPartGallery w:val="Table of Contents"/>
          <w:docPartUnique/>
        </w:docPartObj>
      </w:sdtPr>
      <w:sdtEndPr>
        <w:rPr>
          <w:rFonts w:eastAsia="仿宋" w:asciiTheme="minorHAnsi" w:hAnsiTheme="minorHAnsi" w:cstheme="minorBidi"/>
          <w:b/>
          <w:bCs/>
          <w:color w:val="auto"/>
          <w:kern w:val="2"/>
          <w:sz w:val="24"/>
          <w:szCs w:val="22"/>
          <w:lang w:val="zh-CN"/>
        </w:rPr>
      </w:sdtEndPr>
      <w:sdtContent>
        <w:p>
          <w:pPr>
            <w:pStyle w:val="53"/>
            <w:jc w:val="center"/>
          </w:pPr>
          <w:bookmarkStart w:id="5" w:name="_Hlk92296801"/>
          <w:bookmarkStart w:id="6" w:name="_Hlk92291296"/>
          <w:r>
            <w:rPr>
              <w:lang w:val="zh-CN"/>
            </w:rPr>
            <w:t>目录</w:t>
          </w:r>
        </w:p>
        <w:p>
          <w:pPr>
            <w:pStyle w:val="19"/>
            <w:tabs>
              <w:tab w:val="right" w:leader="dot" w:pos="8306"/>
            </w:tabs>
          </w:pPr>
          <w:r>
            <w:fldChar w:fldCharType="begin"/>
          </w:r>
          <w:r>
            <w:instrText xml:space="preserve"> TOC \o "1-3" \h \z \u </w:instrText>
          </w:r>
          <w:r>
            <w:fldChar w:fldCharType="separate"/>
          </w:r>
          <w:r>
            <w:fldChar w:fldCharType="begin"/>
          </w:r>
          <w:r>
            <w:instrText xml:space="preserve"> HYPERLINK \l "_Toc259" </w:instrText>
          </w:r>
          <w:r>
            <w:fldChar w:fldCharType="separate"/>
          </w:r>
          <w:r>
            <w:rPr>
              <w:rFonts w:hint="eastAsia"/>
            </w:rPr>
            <w:t>1 基层单位填报</w:t>
          </w:r>
          <w:r>
            <w:tab/>
          </w:r>
          <w:r>
            <w:fldChar w:fldCharType="begin"/>
          </w:r>
          <w:r>
            <w:instrText xml:space="preserve"> PAGEREF _Toc259 \h </w:instrText>
          </w:r>
          <w:r>
            <w:fldChar w:fldCharType="separate"/>
          </w:r>
          <w:r>
            <w:t>1</w:t>
          </w:r>
          <w:r>
            <w:fldChar w:fldCharType="end"/>
          </w:r>
          <w:r>
            <w:fldChar w:fldCharType="end"/>
          </w:r>
        </w:p>
        <w:p>
          <w:pPr>
            <w:pStyle w:val="15"/>
            <w:tabs>
              <w:tab w:val="right" w:leader="dot" w:pos="8306"/>
            </w:tabs>
            <w:ind w:left="480"/>
          </w:pPr>
          <w:r>
            <w:fldChar w:fldCharType="begin"/>
          </w:r>
          <w:r>
            <w:instrText xml:space="preserve"> HYPERLINK \l "_Toc23714" </w:instrText>
          </w:r>
          <w:r>
            <w:fldChar w:fldCharType="separate"/>
          </w:r>
          <w:r>
            <w:rPr>
              <w:rFonts w:hint="eastAsia" w:ascii="仿宋" w:hAnsi="仿宋" w:cs="仿宋"/>
            </w:rPr>
            <w:t>1.1 系统登录</w:t>
          </w:r>
          <w:r>
            <w:tab/>
          </w:r>
          <w:r>
            <w:fldChar w:fldCharType="begin"/>
          </w:r>
          <w:r>
            <w:instrText xml:space="preserve"> PAGEREF _Toc23714 \h </w:instrText>
          </w:r>
          <w:r>
            <w:fldChar w:fldCharType="separate"/>
          </w:r>
          <w:r>
            <w:t>1</w:t>
          </w:r>
          <w:r>
            <w:fldChar w:fldCharType="end"/>
          </w:r>
          <w:r>
            <w:fldChar w:fldCharType="end"/>
          </w:r>
        </w:p>
        <w:p>
          <w:pPr>
            <w:pStyle w:val="15"/>
            <w:tabs>
              <w:tab w:val="right" w:leader="dot" w:pos="8306"/>
            </w:tabs>
            <w:ind w:left="480"/>
          </w:pPr>
          <w:r>
            <w:fldChar w:fldCharType="begin"/>
          </w:r>
          <w:r>
            <w:instrText xml:space="preserve"> HYPERLINK \l "_Toc25981" </w:instrText>
          </w:r>
          <w:r>
            <w:fldChar w:fldCharType="separate"/>
          </w:r>
          <w:r>
            <w:rPr>
              <w:rFonts w:hint="eastAsia" w:ascii="仿宋" w:hAnsi="仿宋" w:cs="仿宋"/>
            </w:rPr>
            <w:t>1.2 数据录入</w:t>
          </w:r>
          <w:r>
            <w:tab/>
          </w:r>
          <w:r>
            <w:fldChar w:fldCharType="begin"/>
          </w:r>
          <w:r>
            <w:instrText xml:space="preserve"> PAGEREF _Toc25981 \h </w:instrText>
          </w:r>
          <w:r>
            <w:fldChar w:fldCharType="separate"/>
          </w:r>
          <w:r>
            <w:t>1</w:t>
          </w:r>
          <w:r>
            <w:fldChar w:fldCharType="end"/>
          </w:r>
          <w:r>
            <w:fldChar w:fldCharType="end"/>
          </w:r>
        </w:p>
        <w:p>
          <w:pPr>
            <w:pStyle w:val="14"/>
            <w:tabs>
              <w:tab w:val="right" w:leader="dot" w:pos="8306"/>
            </w:tabs>
            <w:ind w:left="960"/>
          </w:pPr>
          <w:r>
            <w:fldChar w:fldCharType="begin"/>
          </w:r>
          <w:r>
            <w:instrText xml:space="preserve"> HYPERLINK \l "_Toc29814" </w:instrText>
          </w:r>
          <w:r>
            <w:fldChar w:fldCharType="separate"/>
          </w:r>
          <w:r>
            <w:rPr>
              <w:rFonts w:hint="eastAsia"/>
            </w:rPr>
            <w:t>1.2.1 进入“房屋资产统计”模块</w:t>
          </w:r>
          <w:r>
            <w:tab/>
          </w:r>
          <w:r>
            <w:fldChar w:fldCharType="begin"/>
          </w:r>
          <w:r>
            <w:instrText xml:space="preserve"> PAGEREF _Toc29814 \h </w:instrText>
          </w:r>
          <w:r>
            <w:fldChar w:fldCharType="separate"/>
          </w:r>
          <w:r>
            <w:t>1</w:t>
          </w:r>
          <w:r>
            <w:fldChar w:fldCharType="end"/>
          </w:r>
          <w:r>
            <w:fldChar w:fldCharType="end"/>
          </w:r>
        </w:p>
        <w:p>
          <w:pPr>
            <w:pStyle w:val="14"/>
            <w:tabs>
              <w:tab w:val="right" w:leader="dot" w:pos="8306"/>
            </w:tabs>
            <w:ind w:left="960"/>
          </w:pPr>
          <w:r>
            <w:fldChar w:fldCharType="begin"/>
          </w:r>
          <w:r>
            <w:instrText xml:space="preserve"> HYPERLINK \l "_Toc5342" </w:instrText>
          </w:r>
          <w:r>
            <w:fldChar w:fldCharType="separate"/>
          </w:r>
          <w:r>
            <w:rPr>
              <w:rFonts w:hint="eastAsia" w:ascii="仿宋_GB2312" w:eastAsia="仿宋_GB2312"/>
              <w:szCs w:val="24"/>
            </w:rPr>
            <w:t xml:space="preserve">1.2.2 </w:t>
          </w:r>
          <w:r>
            <w:rPr>
              <w:rFonts w:hint="eastAsia"/>
              <w:bCs/>
              <w:szCs w:val="32"/>
            </w:rPr>
            <w:t>进入填报界面</w:t>
          </w:r>
          <w:r>
            <w:tab/>
          </w:r>
          <w:r>
            <w:fldChar w:fldCharType="begin"/>
          </w:r>
          <w:r>
            <w:instrText xml:space="preserve"> PAGEREF _Toc5342 \h </w:instrText>
          </w:r>
          <w:r>
            <w:fldChar w:fldCharType="separate"/>
          </w:r>
          <w:r>
            <w:t>3</w:t>
          </w:r>
          <w:r>
            <w:fldChar w:fldCharType="end"/>
          </w:r>
          <w:r>
            <w:fldChar w:fldCharType="end"/>
          </w:r>
        </w:p>
        <w:p>
          <w:pPr>
            <w:pStyle w:val="14"/>
            <w:tabs>
              <w:tab w:val="right" w:leader="dot" w:pos="8306"/>
            </w:tabs>
            <w:ind w:left="960"/>
          </w:pPr>
          <w:r>
            <w:fldChar w:fldCharType="begin"/>
          </w:r>
          <w:r>
            <w:instrText xml:space="preserve"> HYPERLINK \l "_Toc11740" </w:instrText>
          </w:r>
          <w:r>
            <w:fldChar w:fldCharType="separate"/>
          </w:r>
          <w:r>
            <w:rPr>
              <w:rFonts w:hint="eastAsia"/>
              <w:bCs/>
              <w:szCs w:val="32"/>
            </w:rPr>
            <w:t>1.2.3 数据录入</w:t>
          </w:r>
          <w:r>
            <w:tab/>
          </w:r>
          <w:r>
            <w:fldChar w:fldCharType="begin"/>
          </w:r>
          <w:r>
            <w:instrText xml:space="preserve"> PAGEREF _Toc11740 \h </w:instrText>
          </w:r>
          <w:r>
            <w:fldChar w:fldCharType="separate"/>
          </w:r>
          <w:r>
            <w:t>3</w:t>
          </w:r>
          <w:r>
            <w:fldChar w:fldCharType="end"/>
          </w:r>
          <w:r>
            <w:fldChar w:fldCharType="end"/>
          </w:r>
        </w:p>
        <w:p>
          <w:pPr>
            <w:pStyle w:val="15"/>
            <w:tabs>
              <w:tab w:val="right" w:leader="dot" w:pos="8306"/>
            </w:tabs>
            <w:ind w:left="480"/>
          </w:pPr>
          <w:r>
            <w:fldChar w:fldCharType="begin"/>
          </w:r>
          <w:r>
            <w:instrText xml:space="preserve"> HYPERLINK \l "_Toc3500" </w:instrText>
          </w:r>
          <w:r>
            <w:fldChar w:fldCharType="separate"/>
          </w:r>
          <w:r>
            <w:rPr>
              <w:rFonts w:hint="eastAsia"/>
              <w:bCs/>
              <w:szCs w:val="32"/>
            </w:rPr>
            <w:t>1.3 数据全算</w:t>
          </w:r>
          <w:r>
            <w:tab/>
          </w:r>
          <w:r>
            <w:fldChar w:fldCharType="begin"/>
          </w:r>
          <w:r>
            <w:instrText xml:space="preserve"> PAGEREF _Toc3500 \h </w:instrText>
          </w:r>
          <w:r>
            <w:fldChar w:fldCharType="separate"/>
          </w:r>
          <w:r>
            <w:t>8</w:t>
          </w:r>
          <w:r>
            <w:fldChar w:fldCharType="end"/>
          </w:r>
          <w:r>
            <w:fldChar w:fldCharType="end"/>
          </w:r>
        </w:p>
        <w:p>
          <w:pPr>
            <w:pStyle w:val="15"/>
            <w:tabs>
              <w:tab w:val="right" w:leader="dot" w:pos="8306"/>
            </w:tabs>
            <w:ind w:left="480"/>
          </w:pPr>
          <w:r>
            <w:fldChar w:fldCharType="begin"/>
          </w:r>
          <w:r>
            <w:instrText xml:space="preserve"> HYPERLINK \l "_Toc24978" </w:instrText>
          </w:r>
          <w:r>
            <w:fldChar w:fldCharType="separate"/>
          </w:r>
          <w:r>
            <w:rPr>
              <w:rFonts w:hint="eastAsia"/>
              <w:bCs/>
              <w:szCs w:val="32"/>
            </w:rPr>
            <w:t>1.4 数据审核</w:t>
          </w:r>
          <w:r>
            <w:tab/>
          </w:r>
          <w:r>
            <w:fldChar w:fldCharType="begin"/>
          </w:r>
          <w:r>
            <w:instrText xml:space="preserve"> PAGEREF _Toc24978 \h </w:instrText>
          </w:r>
          <w:r>
            <w:fldChar w:fldCharType="separate"/>
          </w:r>
          <w:r>
            <w:t>9</w:t>
          </w:r>
          <w:r>
            <w:fldChar w:fldCharType="end"/>
          </w:r>
          <w:r>
            <w:fldChar w:fldCharType="end"/>
          </w:r>
        </w:p>
        <w:p>
          <w:pPr>
            <w:pStyle w:val="15"/>
            <w:tabs>
              <w:tab w:val="right" w:leader="dot" w:pos="8306"/>
            </w:tabs>
            <w:ind w:left="480"/>
          </w:pPr>
          <w:r>
            <w:fldChar w:fldCharType="begin"/>
          </w:r>
          <w:r>
            <w:instrText xml:space="preserve"> HYPERLINK \l "_Toc28882" </w:instrText>
          </w:r>
          <w:r>
            <w:fldChar w:fldCharType="separate"/>
          </w:r>
          <w:r>
            <w:rPr>
              <w:rFonts w:hint="eastAsia"/>
              <w:bCs/>
              <w:szCs w:val="32"/>
            </w:rPr>
            <w:t>1.5 报告上传</w:t>
          </w:r>
          <w:r>
            <w:tab/>
          </w:r>
          <w:r>
            <w:fldChar w:fldCharType="begin"/>
          </w:r>
          <w:r>
            <w:instrText xml:space="preserve"> PAGEREF _Toc28882 \h </w:instrText>
          </w:r>
          <w:r>
            <w:fldChar w:fldCharType="separate"/>
          </w:r>
          <w:r>
            <w:t>11</w:t>
          </w:r>
          <w:r>
            <w:fldChar w:fldCharType="end"/>
          </w:r>
          <w:r>
            <w:fldChar w:fldCharType="end"/>
          </w:r>
        </w:p>
        <w:p>
          <w:pPr>
            <w:pStyle w:val="15"/>
            <w:tabs>
              <w:tab w:val="right" w:leader="dot" w:pos="8306"/>
            </w:tabs>
            <w:ind w:left="480"/>
          </w:pPr>
          <w:r>
            <w:fldChar w:fldCharType="begin"/>
          </w:r>
          <w:r>
            <w:instrText xml:space="preserve"> HYPERLINK \l "_Toc13162" </w:instrText>
          </w:r>
          <w:r>
            <w:fldChar w:fldCharType="separate"/>
          </w:r>
          <w:r>
            <w:rPr>
              <w:rFonts w:hint="eastAsia"/>
              <w:bCs/>
              <w:szCs w:val="32"/>
            </w:rPr>
            <w:t>1.6 数据上报</w:t>
          </w:r>
          <w:r>
            <w:tab/>
          </w:r>
          <w:r>
            <w:fldChar w:fldCharType="begin"/>
          </w:r>
          <w:r>
            <w:instrText xml:space="preserve"> PAGEREF _Toc13162 \h </w:instrText>
          </w:r>
          <w:r>
            <w:fldChar w:fldCharType="separate"/>
          </w:r>
          <w:r>
            <w:t>12</w:t>
          </w:r>
          <w:r>
            <w:fldChar w:fldCharType="end"/>
          </w:r>
          <w:r>
            <w:fldChar w:fldCharType="end"/>
          </w:r>
        </w:p>
        <w:p>
          <w:pPr>
            <w:pStyle w:val="15"/>
            <w:tabs>
              <w:tab w:val="right" w:leader="dot" w:pos="8306"/>
            </w:tabs>
            <w:ind w:left="480"/>
          </w:pPr>
          <w:r>
            <w:fldChar w:fldCharType="begin"/>
          </w:r>
          <w:r>
            <w:instrText xml:space="preserve"> HYPERLINK \l "_Toc9993" </w:instrText>
          </w:r>
          <w:r>
            <w:fldChar w:fldCharType="separate"/>
          </w:r>
          <w:r>
            <w:rPr>
              <w:rFonts w:hint="eastAsia"/>
              <w:bCs/>
              <w:szCs w:val="32"/>
            </w:rPr>
            <w:t>1.7 报表打印</w:t>
          </w:r>
          <w:r>
            <w:tab/>
          </w:r>
          <w:r>
            <w:fldChar w:fldCharType="begin"/>
          </w:r>
          <w:r>
            <w:instrText xml:space="preserve"> PAGEREF _Toc9993 \h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"_Toc13479" </w:instrText>
          </w:r>
          <w:r>
            <w:fldChar w:fldCharType="separate"/>
          </w:r>
          <w:r>
            <w:rPr>
              <w:rFonts w:hint="eastAsia"/>
            </w:rPr>
            <w:t>2 主管部门汇总</w:t>
          </w:r>
          <w:r>
            <w:tab/>
          </w:r>
          <w:r>
            <w:fldChar w:fldCharType="begin"/>
          </w:r>
          <w:r>
            <w:instrText xml:space="preserve"> PAGEREF _Toc13479 \h </w:instrText>
          </w:r>
          <w:r>
            <w:fldChar w:fldCharType="separate"/>
          </w:r>
          <w:r>
            <w:t>13</w:t>
          </w:r>
          <w:r>
            <w:fldChar w:fldCharType="end"/>
          </w:r>
          <w:r>
            <w:fldChar w:fldCharType="end"/>
          </w:r>
        </w:p>
        <w:p>
          <w:pPr>
            <w:pStyle w:val="15"/>
            <w:tabs>
              <w:tab w:val="right" w:leader="dot" w:pos="8306"/>
            </w:tabs>
            <w:ind w:left="480"/>
          </w:pPr>
          <w:r>
            <w:fldChar w:fldCharType="begin"/>
          </w:r>
          <w:r>
            <w:instrText xml:space="preserve"> HYPERLINK \l "_Toc16971" </w:instrText>
          </w:r>
          <w:r>
            <w:fldChar w:fldCharType="separate"/>
          </w:r>
          <w:r>
            <w:rPr>
              <w:rFonts w:hint="eastAsia" w:ascii="仿宋" w:hAnsi="仿宋" w:cs="仿宋"/>
            </w:rPr>
            <w:t>2.1 系统登录</w:t>
          </w:r>
          <w:r>
            <w:tab/>
          </w:r>
          <w:r>
            <w:fldChar w:fldCharType="begin"/>
          </w:r>
          <w:r>
            <w:instrText xml:space="preserve"> PAGEREF _Toc16971 \h </w:instrText>
          </w:r>
          <w:r>
            <w:fldChar w:fldCharType="separate"/>
          </w:r>
          <w:r>
            <w:t>13</w:t>
          </w:r>
          <w:r>
            <w:fldChar w:fldCharType="end"/>
          </w:r>
          <w:r>
            <w:fldChar w:fldCharType="end"/>
          </w:r>
        </w:p>
        <w:p>
          <w:pPr>
            <w:pStyle w:val="15"/>
            <w:tabs>
              <w:tab w:val="right" w:leader="dot" w:pos="8306"/>
            </w:tabs>
            <w:ind w:left="480"/>
          </w:pPr>
          <w:r>
            <w:fldChar w:fldCharType="begin"/>
          </w:r>
          <w:r>
            <w:instrText xml:space="preserve"> HYPERLINK \l "_Toc26132" </w:instrText>
          </w:r>
          <w:r>
            <w:fldChar w:fldCharType="separate"/>
          </w:r>
          <w:r>
            <w:rPr>
              <w:rFonts w:hint="eastAsia" w:ascii="仿宋" w:hAnsi="仿宋" w:cs="仿宋"/>
            </w:rPr>
            <w:t>2.2 数据汇总</w:t>
          </w:r>
          <w:r>
            <w:tab/>
          </w:r>
          <w:r>
            <w:fldChar w:fldCharType="begin"/>
          </w:r>
          <w:r>
            <w:instrText xml:space="preserve"> PAGEREF _Toc26132 \h </w:instrText>
          </w:r>
          <w:r>
            <w:fldChar w:fldCharType="separate"/>
          </w:r>
          <w:r>
            <w:t>14</w:t>
          </w:r>
          <w:r>
            <w:fldChar w:fldCharType="end"/>
          </w:r>
          <w:r>
            <w:fldChar w:fldCharType="end"/>
          </w:r>
        </w:p>
        <w:p>
          <w:pPr>
            <w:pStyle w:val="14"/>
            <w:tabs>
              <w:tab w:val="right" w:leader="dot" w:pos="8306"/>
            </w:tabs>
            <w:ind w:left="960"/>
          </w:pPr>
          <w:r>
            <w:fldChar w:fldCharType="begin"/>
          </w:r>
          <w:r>
            <w:instrText xml:space="preserve"> HYPERLINK \l "_Toc1034" </w:instrText>
          </w:r>
          <w:r>
            <w:fldChar w:fldCharType="separate"/>
          </w:r>
          <w:r>
            <w:rPr>
              <w:rFonts w:hint="eastAsia"/>
            </w:rPr>
            <w:t>2.2.1 进入“房屋资产统计”模块</w:t>
          </w:r>
          <w:r>
            <w:tab/>
          </w:r>
          <w:r>
            <w:fldChar w:fldCharType="begin"/>
          </w:r>
          <w:r>
            <w:instrText xml:space="preserve"> PAGEREF _Toc1034 \h </w:instrText>
          </w:r>
          <w:r>
            <w:fldChar w:fldCharType="separate"/>
          </w:r>
          <w:r>
            <w:t>14</w:t>
          </w:r>
          <w:r>
            <w:fldChar w:fldCharType="end"/>
          </w:r>
          <w:r>
            <w:fldChar w:fldCharType="end"/>
          </w:r>
        </w:p>
        <w:p>
          <w:pPr>
            <w:pStyle w:val="14"/>
            <w:tabs>
              <w:tab w:val="right" w:leader="dot" w:pos="8306"/>
            </w:tabs>
            <w:ind w:left="960"/>
          </w:pPr>
          <w:r>
            <w:fldChar w:fldCharType="begin"/>
          </w:r>
          <w:r>
            <w:instrText xml:space="preserve"> HYPERLINK \l "_Toc32742" </w:instrText>
          </w:r>
          <w:r>
            <w:fldChar w:fldCharType="separate"/>
          </w:r>
          <w:r>
            <w:rPr>
              <w:rFonts w:hint="eastAsia" w:ascii="仿宋_GB2312" w:eastAsia="仿宋_GB2312"/>
              <w:szCs w:val="24"/>
            </w:rPr>
            <w:t xml:space="preserve">2.2.2 </w:t>
          </w:r>
          <w:r>
            <w:rPr>
              <w:rFonts w:hint="eastAsia"/>
              <w:bCs/>
              <w:szCs w:val="32"/>
            </w:rPr>
            <w:t>进入汇总界面</w:t>
          </w:r>
          <w:r>
            <w:tab/>
          </w:r>
          <w:r>
            <w:fldChar w:fldCharType="begin"/>
          </w:r>
          <w:r>
            <w:instrText xml:space="preserve"> PAGEREF _Toc32742 \h </w:instrText>
          </w:r>
          <w:r>
            <w:fldChar w:fldCharType="separate"/>
          </w:r>
          <w:r>
            <w:t>15</w:t>
          </w:r>
          <w:r>
            <w:fldChar w:fldCharType="end"/>
          </w:r>
          <w:r>
            <w:fldChar w:fldCharType="end"/>
          </w:r>
        </w:p>
        <w:p>
          <w:pPr>
            <w:pStyle w:val="14"/>
            <w:tabs>
              <w:tab w:val="right" w:leader="dot" w:pos="8306"/>
            </w:tabs>
            <w:ind w:left="960"/>
          </w:pPr>
          <w:r>
            <w:fldChar w:fldCharType="begin"/>
          </w:r>
          <w:r>
            <w:instrText xml:space="preserve"> HYPERLINK \l "_Toc30216" </w:instrText>
          </w:r>
          <w:r>
            <w:fldChar w:fldCharType="separate"/>
          </w:r>
          <w:r>
            <w:rPr>
              <w:rFonts w:hint="eastAsia"/>
              <w:bCs/>
              <w:szCs w:val="32"/>
            </w:rPr>
            <w:t>2.2.3 数据汇总</w:t>
          </w:r>
          <w:r>
            <w:tab/>
          </w:r>
          <w:r>
            <w:fldChar w:fldCharType="begin"/>
          </w:r>
          <w:r>
            <w:instrText xml:space="preserve"> PAGEREF _Toc30216 \h </w:instrText>
          </w:r>
          <w:r>
            <w:fldChar w:fldCharType="separate"/>
          </w:r>
          <w:r>
            <w:t>16</w:t>
          </w:r>
          <w:r>
            <w:fldChar w:fldCharType="end"/>
          </w:r>
          <w:r>
            <w:fldChar w:fldCharType="end"/>
          </w:r>
        </w:p>
        <w:p>
          <w:pPr>
            <w:pStyle w:val="15"/>
            <w:tabs>
              <w:tab w:val="right" w:leader="dot" w:pos="8306"/>
            </w:tabs>
            <w:ind w:left="480"/>
          </w:pPr>
          <w:r>
            <w:fldChar w:fldCharType="begin"/>
          </w:r>
          <w:r>
            <w:instrText xml:space="preserve"> HYPERLINK \l "_Toc21936" </w:instrText>
          </w:r>
          <w:r>
            <w:fldChar w:fldCharType="separate"/>
          </w:r>
          <w:r>
            <w:rPr>
              <w:rFonts w:hint="eastAsia" w:ascii="仿宋" w:hAnsi="仿宋" w:cs="仿宋"/>
            </w:rPr>
            <w:t>2.3 数据全审</w:t>
          </w:r>
          <w:r>
            <w:tab/>
          </w:r>
          <w:r>
            <w:fldChar w:fldCharType="begin"/>
          </w:r>
          <w:r>
            <w:instrText xml:space="preserve"> PAGEREF _Toc21936 \h </w:instrText>
          </w:r>
          <w:r>
            <w:fldChar w:fldCharType="separate"/>
          </w:r>
          <w:r>
            <w:t>17</w:t>
          </w:r>
          <w:r>
            <w:fldChar w:fldCharType="end"/>
          </w:r>
          <w:r>
            <w:fldChar w:fldCharType="end"/>
          </w:r>
        </w:p>
        <w:p>
          <w:pPr>
            <w:pStyle w:val="15"/>
            <w:tabs>
              <w:tab w:val="right" w:leader="dot" w:pos="8306"/>
            </w:tabs>
            <w:ind w:left="480"/>
          </w:pPr>
          <w:r>
            <w:fldChar w:fldCharType="begin"/>
          </w:r>
          <w:r>
            <w:instrText xml:space="preserve"> HYPERLINK \l "_Toc13055" </w:instrText>
          </w:r>
          <w:r>
            <w:fldChar w:fldCharType="separate"/>
          </w:r>
          <w:r>
            <w:rPr>
              <w:rFonts w:hint="eastAsia" w:ascii="仿宋" w:hAnsi="仿宋" w:cs="仿宋"/>
            </w:rPr>
            <w:t>2.4 报告上传</w:t>
          </w:r>
          <w:r>
            <w:tab/>
          </w:r>
          <w:r>
            <w:fldChar w:fldCharType="begin"/>
          </w:r>
          <w:r>
            <w:instrText xml:space="preserve"> PAGEREF _Toc13055 \h </w:instrText>
          </w:r>
          <w:r>
            <w:fldChar w:fldCharType="separate"/>
          </w:r>
          <w:r>
            <w:t>18</w:t>
          </w:r>
          <w:r>
            <w:fldChar w:fldCharType="end"/>
          </w:r>
          <w:r>
            <w:fldChar w:fldCharType="end"/>
          </w:r>
        </w:p>
        <w:p>
          <w:pPr>
            <w:pStyle w:val="15"/>
            <w:tabs>
              <w:tab w:val="right" w:leader="dot" w:pos="8306"/>
            </w:tabs>
            <w:ind w:left="480"/>
          </w:pPr>
          <w:r>
            <w:fldChar w:fldCharType="begin"/>
          </w:r>
          <w:r>
            <w:instrText xml:space="preserve"> HYPERLINK \l "_Toc7918" </w:instrText>
          </w:r>
          <w:r>
            <w:fldChar w:fldCharType="separate"/>
          </w:r>
          <w:r>
            <w:rPr>
              <w:rFonts w:hint="eastAsia" w:ascii="仿宋" w:hAnsi="仿宋" w:cs="仿宋"/>
            </w:rPr>
            <w:t>2.5 数据上报</w:t>
          </w:r>
          <w:r>
            <w:tab/>
          </w:r>
          <w:r>
            <w:fldChar w:fldCharType="begin"/>
          </w:r>
          <w:r>
            <w:instrText xml:space="preserve"> PAGEREF _Toc7918 \h </w:instrText>
          </w:r>
          <w:r>
            <w:fldChar w:fldCharType="separate"/>
          </w:r>
          <w:r>
            <w:t>19</w:t>
          </w:r>
          <w:r>
            <w:fldChar w:fldCharType="end"/>
          </w:r>
          <w:r>
            <w:fldChar w:fldCharType="end"/>
          </w:r>
        </w:p>
        <w:p>
          <w:pPr>
            <w:pStyle w:val="15"/>
            <w:tabs>
              <w:tab w:val="right" w:leader="dot" w:pos="8306"/>
            </w:tabs>
            <w:ind w:left="480"/>
          </w:pPr>
          <w:r>
            <w:fldChar w:fldCharType="begin"/>
          </w:r>
          <w:r>
            <w:instrText xml:space="preserve"> HYPERLINK \l "_Toc9596" </w:instrText>
          </w:r>
          <w:r>
            <w:fldChar w:fldCharType="separate"/>
          </w:r>
          <w:r>
            <w:rPr>
              <w:rFonts w:hint="eastAsia" w:ascii="仿宋" w:hAnsi="仿宋" w:cs="仿宋"/>
            </w:rPr>
            <w:t>2.6 报表打印</w:t>
          </w:r>
          <w:r>
            <w:tab/>
          </w:r>
          <w:r>
            <w:fldChar w:fldCharType="begin"/>
          </w:r>
          <w:r>
            <w:instrText xml:space="preserve"> PAGEREF _Toc9596 \h </w:instrText>
          </w:r>
          <w:r>
            <w:fldChar w:fldCharType="separate"/>
          </w:r>
          <w:r>
            <w:t>19</w:t>
          </w:r>
          <w:r>
            <w:fldChar w:fldCharType="end"/>
          </w:r>
          <w:r>
            <w:fldChar w:fldCharType="end"/>
          </w:r>
        </w:p>
        <w:p>
          <w:r>
            <w:rPr>
              <w:bCs/>
              <w:lang w:val="zh-CN"/>
            </w:rPr>
            <w:fldChar w:fldCharType="end"/>
          </w:r>
        </w:p>
      </w:sdtContent>
    </w:sdt>
    <w:bookmarkEnd w:id="5"/>
    <w:bookmarkEnd w:id="6"/>
    <w:p/>
    <w:p/>
    <w:p/>
    <w:p/>
    <w:p/>
    <w:p/>
    <w:p/>
    <w:p>
      <w:pPr>
        <w:pStyle w:val="3"/>
        <w:sectPr>
          <w:pgSz w:w="11906" w:h="16838"/>
          <w:pgMar w:top="1440" w:right="1800" w:bottom="1440" w:left="1800" w:header="851" w:footer="992" w:gutter="0"/>
          <w:cols w:space="425" w:num="1"/>
          <w:docGrid w:type="lines" w:linePitch="312" w:charSpace="0"/>
        </w:sectPr>
      </w:pPr>
    </w:p>
    <w:p>
      <w:pPr>
        <w:pStyle w:val="3"/>
      </w:pPr>
      <w:bookmarkStart w:id="7" w:name="_Toc259"/>
      <w:r>
        <w:rPr>
          <w:rFonts w:hint="eastAsia"/>
        </w:rPr>
        <w:t>基层单位填报</w:t>
      </w:r>
      <w:bookmarkEnd w:id="7"/>
    </w:p>
    <w:p>
      <w:pPr>
        <w:pStyle w:val="4"/>
        <w:rPr>
          <w:rFonts w:ascii="仿宋" w:hAnsi="仿宋" w:eastAsia="仿宋" w:cs="仿宋"/>
        </w:rPr>
      </w:pPr>
      <w:bookmarkStart w:id="8" w:name="_Toc23714"/>
      <w:r>
        <w:rPr>
          <w:rFonts w:hint="eastAsia" w:ascii="仿宋" w:hAnsi="仿宋" w:eastAsia="仿宋" w:cs="仿宋"/>
        </w:rPr>
        <w:t>系统登录</w:t>
      </w:r>
      <w:bookmarkEnd w:id="8"/>
    </w:p>
    <w:p>
      <w:pPr>
        <w:spacing w:line="360" w:lineRule="auto"/>
        <w:ind w:firstLine="420"/>
        <w:rPr>
          <w:rFonts w:ascii="仿宋_GB2312" w:eastAsia="仿宋_GB2312" w:cs="Times New Roman"/>
          <w:szCs w:val="24"/>
        </w:rPr>
      </w:pPr>
      <w:r>
        <w:rPr>
          <w:rFonts w:hint="eastAsia" w:ascii="仿宋_GB2312" w:eastAsia="仿宋_GB2312" w:cs="Times New Roman"/>
          <w:szCs w:val="24"/>
        </w:rPr>
        <w:t>打开浏览器，输入服务地址https://zcgl.ggj.gov.cn，点击回车，进入系统登录界面，输入账号、密码，点击【登录】。如下图：</w:t>
      </w:r>
    </w:p>
    <w:p>
      <w:pPr>
        <w:pStyle w:val="55"/>
        <w:spacing w:line="360" w:lineRule="auto"/>
        <w:ind w:firstLine="0"/>
        <w:rPr>
          <w:rFonts w:ascii="仿宋_GB2312" w:eastAsia="仿宋_GB2312"/>
          <w:sz w:val="24"/>
        </w:rPr>
      </w:pPr>
      <w:r>
        <w:drawing>
          <wp:inline distT="0" distB="0" distL="114300" distR="114300">
            <wp:extent cx="5266690" cy="2570480"/>
            <wp:effectExtent l="0" t="0" r="10160" b="1270"/>
            <wp:docPr id="1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6"/>
                    <pic:cNvPicPr>
                      <a:picLocks noChangeAspect="1"/>
                    </pic:cNvPicPr>
                  </pic:nvPicPr>
                  <pic:blipFill>
                    <a:blip r:embed="rId5"/>
                    <a:stretch>
                      <a:fillRect/>
                    </a:stretch>
                  </pic:blipFill>
                  <pic:spPr>
                    <a:xfrm>
                      <a:off x="0" y="0"/>
                      <a:ext cx="5266690" cy="2570480"/>
                    </a:xfrm>
                    <a:prstGeom prst="rect">
                      <a:avLst/>
                    </a:prstGeom>
                    <a:noFill/>
                    <a:ln>
                      <a:noFill/>
                    </a:ln>
                  </pic:spPr>
                </pic:pic>
              </a:graphicData>
            </a:graphic>
          </wp:inline>
        </w:drawing>
      </w:r>
    </w:p>
    <w:p>
      <w:pPr>
        <w:spacing w:line="360" w:lineRule="auto"/>
        <w:ind w:firstLine="420"/>
        <w:rPr>
          <w:rFonts w:ascii="仿宋_GB2312" w:eastAsia="仿宋_GB2312"/>
          <w:b/>
          <w:szCs w:val="24"/>
        </w:rPr>
      </w:pPr>
    </w:p>
    <w:p>
      <w:pPr>
        <w:spacing w:line="360" w:lineRule="auto"/>
        <w:ind w:firstLine="420"/>
        <w:rPr>
          <w:rFonts w:ascii="仿宋_GB2312" w:eastAsia="仿宋_GB2312"/>
          <w:szCs w:val="24"/>
        </w:rPr>
      </w:pPr>
      <w:r>
        <w:rPr>
          <w:rFonts w:hint="eastAsia" w:ascii="仿宋_GB2312" w:eastAsia="仿宋_GB2312"/>
          <w:b/>
          <w:szCs w:val="24"/>
        </w:rPr>
        <w:t>用户名登录：</w:t>
      </w:r>
      <w:r>
        <w:rPr>
          <w:rFonts w:hint="eastAsia" w:ascii="仿宋_GB2312" w:eastAsia="仿宋_GB2312"/>
          <w:bCs/>
          <w:szCs w:val="24"/>
        </w:rPr>
        <w:t>平台</w:t>
      </w:r>
      <w:r>
        <w:rPr>
          <w:rFonts w:hint="eastAsia" w:ascii="仿宋_GB2312" w:eastAsia="仿宋_GB2312"/>
          <w:szCs w:val="24"/>
        </w:rPr>
        <w:t>登录账号规则为“组织机构代码+0”或“组织机构代码+7”,基层单位需加0，汇总节点需加7。“房屋资产统计”模块账号、密码与“决算报告”模块账号、密码保持一致，</w:t>
      </w:r>
      <w:r>
        <w:rPr>
          <w:rFonts w:hint="eastAsia" w:ascii="仿宋_GB2312" w:eastAsia="仿宋_GB2312"/>
          <w:b/>
          <w:bCs/>
          <w:szCs w:val="24"/>
        </w:rPr>
        <w:t>各部门、单位使用填报“决算报告”时登录平台的账号、密码进行登录</w:t>
      </w:r>
      <w:r>
        <w:rPr>
          <w:rFonts w:hint="eastAsia" w:ascii="仿宋_GB2312" w:eastAsia="仿宋_GB2312"/>
          <w:szCs w:val="24"/>
        </w:rPr>
        <w:t>。</w:t>
      </w:r>
    </w:p>
    <w:p>
      <w:pPr>
        <w:pStyle w:val="4"/>
        <w:rPr>
          <w:rFonts w:ascii="仿宋" w:hAnsi="仿宋" w:eastAsia="仿宋" w:cs="仿宋"/>
        </w:rPr>
      </w:pPr>
      <w:bookmarkStart w:id="9" w:name="_Toc25981"/>
      <w:r>
        <w:rPr>
          <w:rFonts w:hint="eastAsia" w:ascii="仿宋" w:hAnsi="仿宋" w:eastAsia="仿宋" w:cs="仿宋"/>
        </w:rPr>
        <w:t>数据录入</w:t>
      </w:r>
      <w:bookmarkEnd w:id="9"/>
    </w:p>
    <w:p>
      <w:pPr>
        <w:pStyle w:val="5"/>
      </w:pPr>
      <w:bookmarkStart w:id="10" w:name="_Toc29814"/>
      <w:r>
        <w:rPr>
          <w:rFonts w:hint="eastAsia"/>
        </w:rPr>
        <w:t>进入“房屋资产统计”模块</w:t>
      </w:r>
      <w:bookmarkEnd w:id="10"/>
    </w:p>
    <w:p>
      <w:pPr>
        <w:spacing w:line="360" w:lineRule="auto"/>
        <w:ind w:firstLine="420"/>
        <w:rPr>
          <w:rFonts w:ascii="仿宋_GB2312" w:eastAsia="仿宋_GB2312"/>
          <w:szCs w:val="24"/>
        </w:rPr>
      </w:pPr>
      <w:r>
        <w:rPr>
          <w:rFonts w:hint="eastAsia" w:ascii="仿宋_GB2312" w:eastAsia="仿宋_GB2312"/>
          <w:szCs w:val="24"/>
        </w:rPr>
        <w:t>登录中央行政事业单位国有资产管理服务平台后，点击上方【房屋资产统计】，如下图：</w:t>
      </w:r>
    </w:p>
    <w:p>
      <w:pPr>
        <w:pStyle w:val="2"/>
        <w:ind w:left="0" w:firstLine="0"/>
      </w:pPr>
      <w:r>
        <w:drawing>
          <wp:inline distT="0" distB="0" distL="114300" distR="114300">
            <wp:extent cx="5266690" cy="2570480"/>
            <wp:effectExtent l="0" t="0" r="10160" b="1270"/>
            <wp:docPr id="1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7"/>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jc w:val="left"/>
        <w:rPr>
          <w:rFonts w:ascii="仿宋_GB2312" w:eastAsia="仿宋_GB2312"/>
          <w:szCs w:val="24"/>
        </w:rPr>
      </w:pPr>
      <w:r>
        <w:rPr>
          <w:rFonts w:hint="eastAsia" w:ascii="仿宋_GB2312" w:eastAsia="仿宋_GB2312"/>
          <w:szCs w:val="24"/>
        </w:rPr>
        <w:t>点击【房屋资产统计】，进入“房屋资产统计”模块首页，如下图：</w:t>
      </w:r>
    </w:p>
    <w:p>
      <w:pPr>
        <w:pStyle w:val="55"/>
        <w:spacing w:line="360" w:lineRule="auto"/>
        <w:ind w:firstLine="0"/>
        <w:jc w:val="both"/>
        <w:rPr>
          <w:rFonts w:ascii="仿宋_GB2312" w:eastAsia="仿宋_GB2312"/>
          <w:sz w:val="24"/>
        </w:rPr>
      </w:pPr>
      <w:r>
        <w:drawing>
          <wp:inline distT="0" distB="0" distL="114300" distR="114300">
            <wp:extent cx="5266690" cy="2570480"/>
            <wp:effectExtent l="0" t="0" r="10160" b="1270"/>
            <wp:docPr id="1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
                    <pic:cNvPicPr>
                      <a:picLocks noChangeAspect="1"/>
                    </pic:cNvPicPr>
                  </pic:nvPicPr>
                  <pic:blipFill>
                    <a:blip r:embed="rId7"/>
                    <a:stretch>
                      <a:fillRect/>
                    </a:stretch>
                  </pic:blipFill>
                  <pic:spPr>
                    <a:xfrm>
                      <a:off x="0" y="0"/>
                      <a:ext cx="5266690" cy="2570480"/>
                    </a:xfrm>
                    <a:prstGeom prst="rect">
                      <a:avLst/>
                    </a:prstGeom>
                    <a:noFill/>
                    <a:ln>
                      <a:noFill/>
                    </a:ln>
                  </pic:spPr>
                </pic:pic>
              </a:graphicData>
            </a:graphic>
          </wp:inline>
        </w:drawing>
      </w:r>
    </w:p>
    <w:p>
      <w:pPr>
        <w:pStyle w:val="55"/>
        <w:spacing w:line="360" w:lineRule="auto"/>
        <w:ind w:firstLine="0"/>
        <w:rPr>
          <w:rFonts w:ascii="仿宋_GB2312" w:eastAsia="仿宋_GB2312"/>
          <w:sz w:val="24"/>
        </w:rPr>
      </w:pPr>
    </w:p>
    <w:p>
      <w:pPr>
        <w:spacing w:line="360" w:lineRule="auto"/>
        <w:ind w:firstLine="420"/>
        <w:rPr>
          <w:rFonts w:ascii="仿宋_GB2312" w:eastAsia="仿宋_GB2312"/>
          <w:szCs w:val="24"/>
        </w:rPr>
      </w:pPr>
      <w:r>
        <w:rPr>
          <w:rFonts w:hint="eastAsia" w:ascii="仿宋_GB2312" w:eastAsia="仿宋_GB2312"/>
          <w:b/>
          <w:bCs/>
          <w:szCs w:val="24"/>
        </w:rPr>
        <w:t>通知公告：</w:t>
      </w:r>
      <w:r>
        <w:rPr>
          <w:rFonts w:hint="eastAsia" w:ascii="仿宋_GB2312" w:eastAsia="仿宋_GB2312"/>
          <w:szCs w:val="24"/>
        </w:rPr>
        <w:t>该部分展示“房屋资产统计”相关通知，包括《国管局关于开展2022年度中央行政事业单位房屋资产统计工作的通知》、《房屋资产管理工作报告模板》，</w:t>
      </w:r>
      <w:r>
        <w:rPr>
          <w:rFonts w:hint="eastAsia" w:ascii="仿宋_GB2312" w:eastAsia="仿宋_GB2312"/>
          <w:szCs w:val="24"/>
          <w:lang w:eastAsia="zh-CN"/>
        </w:rPr>
        <w:t>相关报表表样、系统操作说明、单机版软件及操作说明等，</w:t>
      </w:r>
      <w:r>
        <w:rPr>
          <w:rFonts w:hint="eastAsia" w:ascii="仿宋_GB2312" w:eastAsia="仿宋_GB2312"/>
          <w:szCs w:val="24"/>
        </w:rPr>
        <w:t>单位可自行查看、下载；</w:t>
      </w:r>
    </w:p>
    <w:p>
      <w:pPr>
        <w:spacing w:line="360" w:lineRule="auto"/>
        <w:ind w:firstLine="420"/>
        <w:rPr>
          <w:rFonts w:ascii="仿宋_GB2312" w:eastAsia="仿宋_GB2312"/>
          <w:szCs w:val="24"/>
        </w:rPr>
      </w:pPr>
      <w:r>
        <w:rPr>
          <w:rFonts w:hint="eastAsia" w:ascii="仿宋_GB2312" w:eastAsia="仿宋_GB2312"/>
          <w:b/>
          <w:bCs/>
          <w:szCs w:val="24"/>
        </w:rPr>
        <w:t>政策法规：</w:t>
      </w:r>
      <w:r>
        <w:rPr>
          <w:rFonts w:hint="eastAsia" w:ascii="仿宋_GB2312" w:eastAsia="仿宋_GB2312"/>
          <w:szCs w:val="24"/>
        </w:rPr>
        <w:t>该部分展示房屋资产管理相关政策法规，单位可自行点击查看。</w:t>
      </w:r>
    </w:p>
    <w:p>
      <w:pPr>
        <w:pStyle w:val="5"/>
        <w:rPr>
          <w:rFonts w:ascii="仿宋_GB2312" w:eastAsia="仿宋_GB2312"/>
          <w:szCs w:val="24"/>
        </w:rPr>
      </w:pPr>
      <w:bookmarkStart w:id="11" w:name="_Toc5342"/>
      <w:r>
        <w:rPr>
          <w:rFonts w:hint="eastAsia"/>
        </w:rPr>
        <w:t>进入填报界面</w:t>
      </w:r>
      <w:bookmarkEnd w:id="11"/>
    </w:p>
    <w:p>
      <w:pPr>
        <w:widowControl/>
        <w:spacing w:before="156" w:beforeLines="50" w:after="156" w:afterLines="50" w:line="360" w:lineRule="auto"/>
        <w:ind w:left="420"/>
        <w:jc w:val="left"/>
      </w:pPr>
      <w:r>
        <w:rPr>
          <w:rFonts w:hint="eastAsia" w:ascii="仿宋_GB2312" w:eastAsia="仿宋_GB2312"/>
          <w:szCs w:val="24"/>
        </w:rPr>
        <w:t>点击左侧功能树【报表填报】，进入填报界面，如下图：</w:t>
      </w:r>
      <w:r>
        <w:drawing>
          <wp:inline distT="0" distB="0" distL="114300" distR="114300">
            <wp:extent cx="5266690" cy="2570480"/>
            <wp:effectExtent l="0" t="0" r="10160" b="1270"/>
            <wp:docPr id="1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pStyle w:val="5"/>
      </w:pPr>
      <w:bookmarkStart w:id="12" w:name="_Toc11740"/>
      <w:r>
        <w:rPr>
          <w:rFonts w:hint="eastAsia"/>
        </w:rPr>
        <w:t>数据录入</w:t>
      </w:r>
      <w:bookmarkEnd w:id="12"/>
    </w:p>
    <w:p>
      <w:pPr>
        <w:spacing w:line="360" w:lineRule="auto"/>
        <w:ind w:firstLine="480" w:firstLineChars="200"/>
        <w:rPr>
          <w:rFonts w:ascii="仿宋_GB2312" w:eastAsia="仿宋_GB2312"/>
          <w:szCs w:val="24"/>
        </w:rPr>
      </w:pPr>
      <w:r>
        <w:rPr>
          <w:rFonts w:hint="eastAsia" w:ascii="仿宋_GB2312" w:eastAsia="仿宋_GB2312"/>
          <w:szCs w:val="24"/>
        </w:rPr>
        <w:t>需要录入数据部分包括：封面代码、明细表（6张）、附表（1张）、管理情况（1张）。</w:t>
      </w:r>
    </w:p>
    <w:p>
      <w:pPr>
        <w:pStyle w:val="6"/>
        <w:rPr>
          <w:rFonts w:asciiTheme="minorHAnsi" w:hAnsiTheme="minorHAnsi"/>
          <w:szCs w:val="32"/>
        </w:rPr>
      </w:pPr>
      <w:r>
        <w:rPr>
          <w:rFonts w:hint="eastAsia" w:asciiTheme="minorHAnsi" w:hAnsiTheme="minorHAnsi"/>
          <w:szCs w:val="32"/>
        </w:rPr>
        <w:t>封面代码录入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进入填报页面，系统默认展示封面代码部分，系统已</w:t>
      </w:r>
      <w:r>
        <w:rPr>
          <w:rFonts w:hint="eastAsia" w:ascii="仿宋_GB2312" w:eastAsia="仿宋_GB2312"/>
          <w:szCs w:val="24"/>
          <w:lang w:eastAsia="zh-CN"/>
        </w:rPr>
        <w:t>预置</w:t>
      </w:r>
      <w:r>
        <w:rPr>
          <w:rFonts w:hint="eastAsia" w:ascii="仿宋_GB2312" w:eastAsia="仿宋_GB2312"/>
          <w:szCs w:val="24"/>
        </w:rPr>
        <w:t>2021年各单位封面代码信息，单位进行数据录入时需检查封面代码信息，查漏补缺，如下图：</w:t>
      </w:r>
    </w:p>
    <w:p>
      <w:pPr>
        <w:pStyle w:val="2"/>
      </w:pPr>
      <w:r>
        <w:drawing>
          <wp:inline distT="0" distB="0" distL="114300" distR="114300">
            <wp:extent cx="5266690" cy="2570480"/>
            <wp:effectExtent l="0" t="0" r="10160" b="1270"/>
            <wp:docPr id="1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0"/>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封面代码信息修改、确认无误后，点击【保存】。</w:t>
      </w:r>
    </w:p>
    <w:p>
      <w:pPr>
        <w:pStyle w:val="6"/>
        <w:rPr>
          <w:rFonts w:asciiTheme="minorHAnsi" w:hAnsiTheme="minorHAnsi"/>
          <w:szCs w:val="32"/>
        </w:rPr>
      </w:pPr>
      <w:r>
        <w:rPr>
          <w:rFonts w:hint="eastAsia" w:asciiTheme="minorHAnsi" w:hAnsiTheme="minorHAnsi"/>
          <w:szCs w:val="32"/>
        </w:rPr>
        <w:t>明细表录入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点击报表页签【明细表】，进入明细表录入界面，如下图：</w:t>
      </w:r>
    </w:p>
    <w:p>
      <w:pPr>
        <w:pStyle w:val="2"/>
      </w:pPr>
      <w:r>
        <w:drawing>
          <wp:inline distT="0" distB="0" distL="114300" distR="114300">
            <wp:extent cx="5266690" cy="2570480"/>
            <wp:effectExtent l="0" t="0" r="10160" b="127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hint="eastAsia" w:ascii="仿宋_GB2312" w:eastAsia="仿宋_GB2312"/>
          <w:szCs w:val="24"/>
          <w:lang w:eastAsia="zh-CN"/>
        </w:rPr>
      </w:pPr>
      <w:r>
        <w:rPr>
          <w:rFonts w:hint="eastAsia" w:ascii="仿宋_GB2312" w:eastAsia="仿宋_GB2312"/>
          <w:szCs w:val="24"/>
        </w:rPr>
        <w:t>明细表包括6张：房屋资产明细表、土地和土地使用权明细表、已投入使用的房屋类在建工程明细表、未入账房屋明细表、未入账土地明细表、使用其他单位房屋情况表。其中，</w:t>
      </w:r>
      <w:r>
        <w:rPr>
          <w:rFonts w:hint="eastAsia" w:ascii="仿宋_GB2312" w:eastAsia="仿宋_GB2312"/>
          <w:b/>
          <w:bCs/>
          <w:szCs w:val="24"/>
        </w:rPr>
        <w:t>房屋资产明细表、土地和土地使用权明细表、已投入使用的房屋类在建工程明细表</w:t>
      </w:r>
      <w:r>
        <w:rPr>
          <w:rFonts w:hint="eastAsia" w:ascii="仿宋_GB2312" w:eastAsia="仿宋_GB2312"/>
          <w:szCs w:val="24"/>
        </w:rPr>
        <w:t>可</w:t>
      </w:r>
      <w:r>
        <w:rPr>
          <w:rFonts w:hint="eastAsia" w:ascii="仿宋_GB2312" w:eastAsia="仿宋_GB2312"/>
          <w:szCs w:val="24"/>
          <w:highlight w:val="yellow"/>
        </w:rPr>
        <w:t>通过公式提取资产决算数据</w:t>
      </w:r>
      <w:r>
        <w:rPr>
          <w:rFonts w:hint="eastAsia" w:ascii="仿宋_GB2312" w:eastAsia="仿宋_GB2312"/>
          <w:szCs w:val="24"/>
        </w:rPr>
        <w:t>，未入账房屋明细表、未入账土地明细表、使用其他单位房屋情况表需各单位手工录入</w:t>
      </w:r>
      <w:r>
        <w:rPr>
          <w:rFonts w:hint="eastAsia" w:ascii="仿宋_GB2312" w:eastAsia="仿宋_GB2312"/>
          <w:szCs w:val="24"/>
          <w:lang w:eastAsia="zh-CN"/>
        </w:rPr>
        <w:t>（数据录入参照指标注释填写）</w:t>
      </w:r>
      <w:r>
        <w:rPr>
          <w:rFonts w:hint="eastAsia" w:ascii="仿宋_GB2312" w:eastAsia="仿宋_GB2312"/>
          <w:szCs w:val="24"/>
        </w:rPr>
        <w:t>。</w:t>
      </w:r>
    </w:p>
    <w:p>
      <w:pPr>
        <w:pStyle w:val="2"/>
        <w:numPr>
          <w:ilvl w:val="0"/>
          <w:numId w:val="8"/>
        </w:numPr>
      </w:pPr>
      <w:r>
        <w:rPr>
          <w:rFonts w:hint="eastAsia"/>
        </w:rPr>
        <w:t>提取资产决算数</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点击工具栏【提取资产决算数】，完成房屋资产明细表、土地和土地使用权明细表、已投入使用的房屋类在建工程明细表数据提取，如下图：</w:t>
      </w:r>
    </w:p>
    <w:p>
      <w:pPr>
        <w:pStyle w:val="2"/>
      </w:pPr>
      <w:r>
        <w:drawing>
          <wp:inline distT="0" distB="0" distL="114300" distR="114300">
            <wp:extent cx="5266690" cy="2570480"/>
            <wp:effectExtent l="0" t="0" r="10160" b="1270"/>
            <wp:docPr id="1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3"/>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数据提取完成后，检查房屋资产明细表、土地和土地使用权明细表、已投入使用的房屋类在建工程明细表中数据，并将3张表中空缺信息项按实际房屋资产信息</w:t>
      </w:r>
      <w:r>
        <w:rPr>
          <w:rFonts w:hint="eastAsia" w:ascii="仿宋_GB2312" w:eastAsia="仿宋_GB2312"/>
          <w:b/>
          <w:bCs/>
          <w:szCs w:val="24"/>
          <w:lang w:eastAsia="zh-CN"/>
        </w:rPr>
        <w:t>手动</w:t>
      </w:r>
      <w:r>
        <w:rPr>
          <w:rFonts w:hint="eastAsia" w:ascii="仿宋_GB2312" w:eastAsia="仿宋_GB2312"/>
          <w:b/>
          <w:bCs/>
          <w:szCs w:val="24"/>
        </w:rPr>
        <w:t>补充</w:t>
      </w:r>
      <w:r>
        <w:rPr>
          <w:rFonts w:hint="eastAsia" w:ascii="仿宋_GB2312" w:eastAsia="仿宋_GB2312"/>
          <w:szCs w:val="24"/>
        </w:rPr>
        <w:t>完整。</w:t>
      </w:r>
    </w:p>
    <w:p>
      <w:pPr>
        <w:pStyle w:val="2"/>
        <w:numPr>
          <w:ilvl w:val="0"/>
          <w:numId w:val="8"/>
        </w:numPr>
      </w:pPr>
      <w:r>
        <w:rPr>
          <w:rFonts w:hint="eastAsia"/>
        </w:rPr>
        <w:t>数据录入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明细表中未入账房屋明细表、未入账土地明细表、使用其他单位房屋情况表3张表需各单位进行数据录入，录入方式包括：复制粘贴、导入、</w:t>
      </w:r>
      <w:r>
        <w:rPr>
          <w:rFonts w:hint="eastAsia" w:ascii="仿宋_GB2312" w:eastAsia="仿宋_GB2312"/>
          <w:szCs w:val="24"/>
          <w:lang w:eastAsia="zh-CN"/>
        </w:rPr>
        <w:t>手动</w:t>
      </w:r>
      <w:r>
        <w:rPr>
          <w:rFonts w:hint="eastAsia" w:ascii="仿宋_GB2312" w:eastAsia="仿宋_GB2312"/>
          <w:szCs w:val="24"/>
        </w:rPr>
        <w:t>录入。</w:t>
      </w:r>
    </w:p>
    <w:p>
      <w:pPr>
        <w:pStyle w:val="2"/>
        <w:numPr>
          <w:ilvl w:val="0"/>
          <w:numId w:val="9"/>
        </w:numPr>
        <w:rPr>
          <w:rFonts w:ascii="仿宋_GB2312" w:eastAsia="仿宋_GB2312"/>
          <w:szCs w:val="24"/>
        </w:rPr>
      </w:pPr>
      <w:r>
        <w:rPr>
          <w:rFonts w:hint="eastAsia" w:ascii="仿宋_GB2312" w:eastAsia="仿宋_GB2312"/>
          <w:szCs w:val="24"/>
        </w:rPr>
        <w:t>复制粘贴</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单位可在excel按照系统数据格式要求，先对各明细表数据进行整理，整理完成后，Ctrl+C复制数据信息，切换至系统具体明细表，Ctrl+V进行粘贴、运算、保存。</w:t>
      </w:r>
    </w:p>
    <w:p>
      <w:pPr>
        <w:widowControl/>
        <w:spacing w:before="156" w:beforeLines="50" w:after="156" w:afterLines="50" w:line="360" w:lineRule="auto"/>
        <w:ind w:left="420" w:firstLine="482" w:firstLineChars="200"/>
        <w:jc w:val="left"/>
        <w:rPr>
          <w:rFonts w:ascii="仿宋_GB2312" w:eastAsia="仿宋_GB2312"/>
          <w:b/>
          <w:bCs/>
          <w:szCs w:val="24"/>
        </w:rPr>
      </w:pPr>
      <w:r>
        <w:rPr>
          <w:rFonts w:hint="eastAsia" w:ascii="仿宋_GB2312" w:eastAsia="仿宋_GB2312"/>
          <w:b/>
          <w:bCs/>
          <w:szCs w:val="24"/>
        </w:rPr>
        <w:t>注：复制数据到系统中，点击【保存】后，个别数据项丢失，说明粘贴的数据格式不满足系统数据格式要求，需进行检查。</w:t>
      </w:r>
    </w:p>
    <w:p>
      <w:pPr>
        <w:pStyle w:val="2"/>
        <w:numPr>
          <w:ilvl w:val="0"/>
          <w:numId w:val="9"/>
        </w:numPr>
        <w:rPr>
          <w:rFonts w:ascii="仿宋_GB2312" w:eastAsia="仿宋_GB2312"/>
          <w:szCs w:val="24"/>
        </w:rPr>
      </w:pPr>
      <w:r>
        <w:rPr>
          <w:rFonts w:hint="eastAsia" w:ascii="仿宋_GB2312" w:eastAsia="仿宋_GB2312"/>
          <w:szCs w:val="24"/>
        </w:rPr>
        <w:t>导入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点击工具栏【导出】，弹出导出对话框后，勾选“导出空表”，点击【确定】，进行当前表导入模板下载，如下图：</w:t>
      </w:r>
    </w:p>
    <w:p>
      <w:pPr>
        <w:pStyle w:val="2"/>
      </w:pPr>
      <w:r>
        <w:drawing>
          <wp:inline distT="0" distB="0" distL="114300" distR="114300">
            <wp:extent cx="5266690" cy="2570480"/>
            <wp:effectExtent l="0" t="0" r="10160" b="1270"/>
            <wp:docPr id="1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4"/>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找到下载的导入模板，按照系统要求，完成数据整理。</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点击工具栏【导入】，点击【选择文件】，找到整理好数据的导入模板，进行数据导入，如下图：</w:t>
      </w:r>
    </w:p>
    <w:p>
      <w:pPr>
        <w:pStyle w:val="2"/>
      </w:pPr>
      <w:r>
        <w:drawing>
          <wp:inline distT="0" distB="0" distL="114300" distR="114300">
            <wp:extent cx="5266690" cy="2570480"/>
            <wp:effectExtent l="0" t="0" r="10160" b="1270"/>
            <wp:docPr id="1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5"/>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导入完成后，点击【运算】，完成表内数据运算，然后点击【保存】，完成本表数据导入操作。</w:t>
      </w:r>
    </w:p>
    <w:p>
      <w:pPr>
        <w:widowControl/>
        <w:spacing w:before="156" w:beforeLines="50" w:after="156" w:afterLines="50" w:line="360" w:lineRule="auto"/>
        <w:ind w:left="420" w:firstLine="482" w:firstLineChars="200"/>
        <w:jc w:val="left"/>
        <w:rPr>
          <w:rFonts w:ascii="仿宋_GB2312" w:eastAsia="仿宋_GB2312"/>
          <w:b/>
          <w:bCs/>
          <w:szCs w:val="24"/>
        </w:rPr>
      </w:pPr>
      <w:r>
        <w:rPr>
          <w:rFonts w:hint="eastAsia" w:ascii="仿宋_GB2312" w:eastAsia="仿宋_GB2312"/>
          <w:b/>
          <w:bCs/>
          <w:szCs w:val="24"/>
        </w:rPr>
        <w:t>注：当数据存在问题，在进行数据导入操作时，系统会弹出错误信息对话框，单位可根据具体信息检查、修改导入模板中数据，修改完成后，再次进行导入操作。错误信息提示如下：</w:t>
      </w:r>
    </w:p>
    <w:p>
      <w:pPr>
        <w:pStyle w:val="2"/>
      </w:pPr>
      <w:r>
        <w:drawing>
          <wp:inline distT="0" distB="0" distL="114300" distR="114300">
            <wp:extent cx="5266690" cy="2570480"/>
            <wp:effectExtent l="0" t="0" r="10160" b="1270"/>
            <wp:docPr id="1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6"/>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pStyle w:val="2"/>
        <w:numPr>
          <w:ilvl w:val="0"/>
          <w:numId w:val="9"/>
        </w:numPr>
        <w:rPr>
          <w:rFonts w:ascii="仿宋_GB2312" w:eastAsia="仿宋_GB2312"/>
          <w:szCs w:val="24"/>
        </w:rPr>
      </w:pPr>
      <w:r>
        <w:rPr>
          <w:rFonts w:hint="eastAsia" w:ascii="仿宋_GB2312" w:eastAsia="仿宋_GB2312"/>
          <w:szCs w:val="24"/>
          <w:lang w:eastAsia="zh-CN"/>
        </w:rPr>
        <w:t>手动</w:t>
      </w:r>
      <w:r>
        <w:rPr>
          <w:rFonts w:hint="eastAsia" w:ascii="仿宋_GB2312" w:eastAsia="仿宋_GB2312"/>
          <w:szCs w:val="24"/>
        </w:rPr>
        <w:t>录入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该录入方式为单位填报人在系统逐条录入数据信息，录入过程中可点击鼠标右键，选择【前插】、【后插】或者【插入多行】，进行空行插入，如下图：</w:t>
      </w:r>
    </w:p>
    <w:p>
      <w:pPr>
        <w:pStyle w:val="2"/>
      </w:pPr>
      <w:r>
        <w:drawing>
          <wp:inline distT="0" distB="0" distL="114300" distR="114300">
            <wp:extent cx="5266690" cy="2570480"/>
            <wp:effectExtent l="0" t="0" r="10160" b="1270"/>
            <wp:docPr id="1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7"/>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数据录入后，点击【保存】，及时保存录入数据。整表数据录入完成后，点击【运算】，然后点击【保存】，完成当前表数据录入。</w:t>
      </w:r>
    </w:p>
    <w:p>
      <w:pPr>
        <w:pStyle w:val="6"/>
        <w:rPr>
          <w:rFonts w:asciiTheme="minorHAnsi" w:hAnsiTheme="minorHAnsi"/>
          <w:szCs w:val="32"/>
        </w:rPr>
      </w:pPr>
      <w:r>
        <w:rPr>
          <w:rFonts w:hint="eastAsia" w:asciiTheme="minorHAnsi" w:hAnsiTheme="minorHAnsi"/>
          <w:szCs w:val="32"/>
        </w:rPr>
        <w:t>附表录入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点击报表页签【附表】，进入附表-机构人员情况表录入界面，如下图：</w:t>
      </w:r>
    </w:p>
    <w:p>
      <w:pPr>
        <w:ind w:firstLine="420"/>
      </w:pPr>
      <w:r>
        <w:drawing>
          <wp:inline distT="0" distB="0" distL="114300" distR="114300">
            <wp:extent cx="5266690" cy="2570480"/>
            <wp:effectExtent l="0" t="0" r="10160" b="1270"/>
            <wp:docPr id="1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8"/>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lang w:eastAsia="zh-CN"/>
        </w:rPr>
        <w:t>机构人员情况表默认从决算表中提取，各部门、单位需要核实数据准确定，核实无误后，</w:t>
      </w:r>
      <w:r>
        <w:rPr>
          <w:rFonts w:hint="eastAsia" w:ascii="仿宋_GB2312" w:eastAsia="仿宋_GB2312"/>
          <w:szCs w:val="24"/>
        </w:rPr>
        <w:t>点击【保存】，完成本表数据录入工作。</w:t>
      </w:r>
    </w:p>
    <w:p>
      <w:pPr>
        <w:pStyle w:val="6"/>
        <w:rPr>
          <w:rFonts w:asciiTheme="minorHAnsi" w:hAnsiTheme="minorHAnsi"/>
          <w:szCs w:val="32"/>
        </w:rPr>
      </w:pPr>
      <w:r>
        <w:rPr>
          <w:rFonts w:hint="eastAsia" w:asciiTheme="minorHAnsi" w:hAnsiTheme="minorHAnsi"/>
          <w:szCs w:val="32"/>
        </w:rPr>
        <w:t>管理情况表录入</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点击报表页签【管理情况】，进入管理情况-房屋土地资产管理情况表录入界面，如下图：</w:t>
      </w:r>
    </w:p>
    <w:p>
      <w:pPr>
        <w:ind w:firstLine="420"/>
      </w:pPr>
      <w:r>
        <w:drawing>
          <wp:inline distT="0" distB="0" distL="114300" distR="114300">
            <wp:extent cx="5266690" cy="2570480"/>
            <wp:effectExtent l="0" t="0" r="10160" b="1270"/>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9"/>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hint="eastAsia" w:eastAsia="仿宋_GB2312"/>
          <w:lang w:eastAsia="zh-CN"/>
        </w:rPr>
      </w:pPr>
      <w:r>
        <w:rPr>
          <w:rFonts w:hint="eastAsia" w:ascii="仿宋_GB2312" w:eastAsia="仿宋_GB2312"/>
          <w:szCs w:val="24"/>
        </w:rPr>
        <w:t>数据录入后，点击【保存】，完成本表数据录入工作。</w:t>
      </w:r>
      <w:r>
        <w:rPr>
          <w:rFonts w:hint="eastAsia" w:ascii="仿宋_GB2312" w:eastAsia="仿宋_GB2312"/>
          <w:szCs w:val="24"/>
          <w:lang w:eastAsia="zh-CN"/>
        </w:rPr>
        <w:t>基层单位无相关情况的，可不填或零填报。</w:t>
      </w:r>
    </w:p>
    <w:p>
      <w:pPr>
        <w:pStyle w:val="4"/>
        <w:rPr>
          <w:rFonts w:eastAsia="仿宋" w:asciiTheme="minorHAnsi" w:hAnsiTheme="minorHAnsi" w:cstheme="minorBidi"/>
        </w:rPr>
      </w:pPr>
      <w:bookmarkStart w:id="13" w:name="_Toc3500"/>
      <w:r>
        <w:rPr>
          <w:rFonts w:hint="eastAsia" w:eastAsia="仿宋" w:asciiTheme="minorHAnsi" w:hAnsiTheme="minorHAnsi" w:cstheme="minorBidi"/>
        </w:rPr>
        <w:t>数据全算</w:t>
      </w:r>
      <w:bookmarkEnd w:id="13"/>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明细表、附表、管理情况表录入完成后，点击【全算】，将数据进行运算至汇总表的房屋土地分级汇总表和房屋土地资产分类汇总表。如下图：</w:t>
      </w:r>
    </w:p>
    <w:p>
      <w:pPr>
        <w:pStyle w:val="2"/>
      </w:pPr>
      <w:r>
        <w:drawing>
          <wp:inline distT="0" distB="0" distL="114300" distR="114300">
            <wp:extent cx="5266690" cy="2570480"/>
            <wp:effectExtent l="0" t="0" r="10160" b="1270"/>
            <wp:docPr id="1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0"/>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全算完成后，点击【保存】。</w:t>
      </w:r>
    </w:p>
    <w:p>
      <w:pPr>
        <w:pStyle w:val="4"/>
        <w:rPr>
          <w:rFonts w:eastAsia="仿宋" w:asciiTheme="minorHAnsi" w:hAnsiTheme="minorHAnsi" w:cstheme="minorBidi"/>
        </w:rPr>
      </w:pPr>
      <w:bookmarkStart w:id="14" w:name="_Toc24978"/>
      <w:r>
        <w:rPr>
          <w:rFonts w:hint="eastAsia" w:eastAsia="仿宋" w:asciiTheme="minorHAnsi" w:hAnsiTheme="minorHAnsi" w:cstheme="minorBidi"/>
        </w:rPr>
        <w:t>数据审核</w:t>
      </w:r>
      <w:bookmarkEnd w:id="14"/>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数据审核工作包括单表审核和全审。</w:t>
      </w:r>
    </w:p>
    <w:p>
      <w:pPr>
        <w:pStyle w:val="2"/>
        <w:numPr>
          <w:ilvl w:val="0"/>
          <w:numId w:val="10"/>
        </w:numPr>
        <w:spacing w:line="360" w:lineRule="auto"/>
        <w:ind w:left="1259"/>
      </w:pPr>
      <w:r>
        <w:rPr>
          <w:rFonts w:hint="eastAsia" w:ascii="仿宋_GB2312" w:eastAsia="仿宋_GB2312"/>
          <w:szCs w:val="24"/>
        </w:rPr>
        <w:t>单表审核：针对单张表进行表内勾稽关系审核操作，对应工具栏【审核】按钮。此操作建议每填完一张表之后进行，保证单表数据正确。</w:t>
      </w:r>
    </w:p>
    <w:p>
      <w:pPr>
        <w:pStyle w:val="2"/>
        <w:numPr>
          <w:ilvl w:val="0"/>
          <w:numId w:val="10"/>
        </w:numPr>
        <w:spacing w:line="360" w:lineRule="auto"/>
        <w:ind w:left="1259"/>
        <w:rPr>
          <w:rFonts w:ascii="仿宋_GB2312" w:eastAsia="仿宋_GB2312"/>
          <w:szCs w:val="24"/>
        </w:rPr>
      </w:pPr>
      <w:r>
        <w:rPr>
          <w:rFonts w:hint="eastAsia" w:ascii="仿宋_GB2312" w:eastAsia="仿宋_GB2312"/>
          <w:szCs w:val="24"/>
        </w:rPr>
        <w:t>全审：针对各表表内及表间勾稽关系审核操作，对应工具栏【全审】按钮。</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全算、保存后，点击【全审】，完成各表内及表间勾稽关系审核，如下图：</w:t>
      </w:r>
    </w:p>
    <w:p>
      <w:pPr>
        <w:pStyle w:val="2"/>
      </w:pPr>
      <w:r>
        <w:drawing>
          <wp:inline distT="0" distB="0" distL="114300" distR="114300">
            <wp:extent cx="5266690" cy="2570480"/>
            <wp:effectExtent l="0" t="0" r="10160" b="1270"/>
            <wp:docPr id="1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1"/>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全审执行后，若数据无问题，系统将提示“审核完成，没有错误”；当数据存在问题时，系统右侧会显示审核结果，并将相关审核信息进行列示，如下图：</w:t>
      </w:r>
    </w:p>
    <w:p>
      <w:pPr>
        <w:pStyle w:val="2"/>
      </w:pPr>
      <w:r>
        <w:drawing>
          <wp:inline distT="0" distB="0" distL="114300" distR="114300">
            <wp:extent cx="5266690" cy="2570480"/>
            <wp:effectExtent l="0" t="0" r="10160" b="1270"/>
            <wp:docPr id="1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2"/>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错误类型包括：错误型、警告型、提示型三种：</w:t>
      </w:r>
    </w:p>
    <w:p>
      <w:pPr>
        <w:widowControl/>
        <w:numPr>
          <w:ilvl w:val="0"/>
          <w:numId w:val="11"/>
        </w:numPr>
        <w:spacing w:before="156" w:beforeLines="50" w:after="156" w:afterLines="50" w:line="360" w:lineRule="auto"/>
        <w:ind w:left="1260"/>
        <w:jc w:val="left"/>
        <w:rPr>
          <w:rFonts w:ascii="仿宋_GB2312" w:eastAsia="仿宋_GB2312"/>
          <w:szCs w:val="24"/>
        </w:rPr>
      </w:pPr>
      <w:r>
        <w:rPr>
          <w:rFonts w:hint="eastAsia" w:ascii="仿宋_GB2312" w:eastAsia="仿宋_GB2312"/>
          <w:szCs w:val="24"/>
        </w:rPr>
        <w:t>错误型</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此种错误需进行数据修改，直至审核无错误型报错，否则数据将无法上报。</w:t>
      </w:r>
    </w:p>
    <w:p>
      <w:pPr>
        <w:widowControl/>
        <w:numPr>
          <w:ilvl w:val="0"/>
          <w:numId w:val="11"/>
        </w:numPr>
        <w:spacing w:before="156" w:beforeLines="50" w:after="156" w:afterLines="50" w:line="360" w:lineRule="auto"/>
        <w:ind w:left="1260"/>
        <w:jc w:val="left"/>
        <w:rPr>
          <w:rFonts w:ascii="仿宋_GB2312" w:eastAsia="仿宋_GB2312"/>
          <w:szCs w:val="24"/>
        </w:rPr>
      </w:pPr>
      <w:r>
        <w:rPr>
          <w:rFonts w:hint="eastAsia" w:ascii="仿宋_GB2312" w:eastAsia="仿宋_GB2312"/>
          <w:szCs w:val="24"/>
        </w:rPr>
        <w:t>警告型</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此种错误需检查数据，确认是否存在数据错误情况，若数据存在错误，需对数据进行修改；若数据无错误，可根据实际情况填写出错说明，填写后可进行数据上报。</w:t>
      </w:r>
    </w:p>
    <w:p>
      <w:pPr>
        <w:widowControl/>
        <w:numPr>
          <w:ilvl w:val="0"/>
          <w:numId w:val="11"/>
        </w:numPr>
        <w:spacing w:before="156" w:beforeLines="50" w:after="156" w:afterLines="50" w:line="360" w:lineRule="auto"/>
        <w:ind w:left="1260"/>
        <w:jc w:val="left"/>
        <w:rPr>
          <w:rFonts w:ascii="仿宋_GB2312" w:eastAsia="仿宋_GB2312"/>
          <w:szCs w:val="24"/>
        </w:rPr>
      </w:pPr>
      <w:r>
        <w:rPr>
          <w:rFonts w:hint="eastAsia" w:ascii="仿宋_GB2312" w:eastAsia="仿宋_GB2312"/>
          <w:szCs w:val="24"/>
        </w:rPr>
        <w:t>提示型</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此种错误需检查数据，确认是否存在数据错误情况，若数据存在错误，需对数据进行修改；若数据无错误，则可忽略该提示型错误。</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审核过程中，可点击右侧错误信息中蓝色字体，定位出错单元格，便于数据修改，如下图：</w:t>
      </w:r>
    </w:p>
    <w:p>
      <w:pPr>
        <w:pStyle w:val="2"/>
      </w:pPr>
      <w:r>
        <w:drawing>
          <wp:inline distT="0" distB="0" distL="114300" distR="114300">
            <wp:extent cx="5266690" cy="2570480"/>
            <wp:effectExtent l="0" t="0" r="10160" b="1270"/>
            <wp:docPr id="1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3"/>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pPr>
        <w:pStyle w:val="4"/>
        <w:rPr>
          <w:rFonts w:eastAsia="仿宋" w:asciiTheme="minorHAnsi" w:hAnsiTheme="minorHAnsi" w:cstheme="minorBidi"/>
        </w:rPr>
      </w:pPr>
      <w:bookmarkStart w:id="15" w:name="_Toc28882"/>
      <w:r>
        <w:rPr>
          <w:rFonts w:hint="eastAsia" w:eastAsia="仿宋" w:asciiTheme="minorHAnsi" w:hAnsiTheme="minorHAnsi" w:cstheme="minorBidi"/>
        </w:rPr>
        <w:t>报告上传</w:t>
      </w:r>
      <w:bookmarkEnd w:id="15"/>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数据全审无错误型提示且无警告型错误或警告型错误已填写出错说明后，可将编辑好的工作报告上传。</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点击报表页签【工作报告】，进入报告上传界面，如下图：</w:t>
      </w:r>
    </w:p>
    <w:p>
      <w:pPr>
        <w:pStyle w:val="2"/>
      </w:pPr>
      <w:r>
        <w:drawing>
          <wp:inline distT="0" distB="0" distL="114300" distR="114300">
            <wp:extent cx="5266690" cy="2570480"/>
            <wp:effectExtent l="0" t="0" r="10160" b="1270"/>
            <wp:docPr id="1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4"/>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w:t>
      </w:r>
      <w:r>
        <w:rPr>
          <w:rFonts w:hint="eastAsia" w:ascii="仿宋_GB2312" w:eastAsia="仿宋_GB2312"/>
          <w:szCs w:val="24"/>
        </w:rPr>
        <w:drawing>
          <wp:inline distT="0" distB="0" distL="114300" distR="114300">
            <wp:extent cx="353060" cy="264795"/>
            <wp:effectExtent l="0" t="0" r="8890" b="1905"/>
            <wp:docPr id="1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5"/>
                    <pic:cNvPicPr>
                      <a:picLocks noChangeAspect="1"/>
                    </pic:cNvPicPr>
                  </pic:nvPicPr>
                  <pic:blipFill>
                    <a:blip r:embed="rId23"/>
                    <a:stretch>
                      <a:fillRect/>
                    </a:stretch>
                  </pic:blipFill>
                  <pic:spPr>
                    <a:xfrm>
                      <a:off x="0" y="0"/>
                      <a:ext cx="353060" cy="264795"/>
                    </a:xfrm>
                    <a:prstGeom prst="rect">
                      <a:avLst/>
                    </a:prstGeom>
                    <a:noFill/>
                    <a:ln>
                      <a:noFill/>
                    </a:ln>
                  </pic:spPr>
                </pic:pic>
              </a:graphicData>
            </a:graphic>
          </wp:inline>
        </w:drawing>
      </w:r>
      <w:r>
        <w:rPr>
          <w:rFonts w:hint="eastAsia" w:ascii="仿宋_GB2312" w:eastAsia="仿宋_GB2312"/>
          <w:szCs w:val="24"/>
        </w:rPr>
        <w:t>，在弹出的“附件管理”中点击【增加】，选择编辑好的工作报告，点击【关闭】，点击【保存】，完成工作报告上传操作，如下图：</w:t>
      </w:r>
    </w:p>
    <w:p>
      <w:pPr>
        <w:pStyle w:val="2"/>
      </w:pPr>
      <w:r>
        <w:drawing>
          <wp:inline distT="0" distB="0" distL="114300" distR="114300">
            <wp:extent cx="5266690" cy="2570480"/>
            <wp:effectExtent l="0" t="0" r="10160" b="1270"/>
            <wp:docPr id="1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6"/>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pStyle w:val="4"/>
        <w:rPr>
          <w:rFonts w:eastAsia="仿宋" w:asciiTheme="minorHAnsi" w:hAnsiTheme="minorHAnsi" w:cstheme="minorBidi"/>
        </w:rPr>
      </w:pPr>
      <w:bookmarkStart w:id="16" w:name="_Toc13162"/>
      <w:r>
        <w:rPr>
          <w:rFonts w:hint="eastAsia" w:eastAsia="仿宋" w:asciiTheme="minorHAnsi" w:hAnsiTheme="minorHAnsi" w:cstheme="minorBidi"/>
        </w:rPr>
        <w:t>数据上报</w:t>
      </w:r>
      <w:bookmarkEnd w:id="16"/>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工作报告上传后，点击【上报】，弹出的“上报”对话框中点击【确定】完成数据上报，如下图：</w:t>
      </w:r>
    </w:p>
    <w:p>
      <w:pPr>
        <w:pStyle w:val="2"/>
      </w:pPr>
      <w:r>
        <w:drawing>
          <wp:inline distT="0" distB="0" distL="114300" distR="114300">
            <wp:extent cx="5266690" cy="2570480"/>
            <wp:effectExtent l="0" t="0" r="10160" b="1270"/>
            <wp:docPr id="1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7"/>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上报操作执行完成后，单位状态栏中报表状态变为“只读”，单位状态变为“已上报”，如下图：</w:t>
      </w:r>
    </w:p>
    <w:p>
      <w:pPr>
        <w:pStyle w:val="2"/>
      </w:pPr>
      <w:r>
        <w:drawing>
          <wp:inline distT="0" distB="0" distL="114300" distR="114300">
            <wp:extent cx="5270500" cy="403225"/>
            <wp:effectExtent l="0" t="0" r="6350" b="15875"/>
            <wp:docPr id="1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8"/>
                    <pic:cNvPicPr>
                      <a:picLocks noChangeAspect="1"/>
                    </pic:cNvPicPr>
                  </pic:nvPicPr>
                  <pic:blipFill>
                    <a:blip r:embed="rId26"/>
                    <a:stretch>
                      <a:fillRect/>
                    </a:stretch>
                  </pic:blipFill>
                  <pic:spPr>
                    <a:xfrm>
                      <a:off x="0" y="0"/>
                      <a:ext cx="5270500" cy="403225"/>
                    </a:xfrm>
                    <a:prstGeom prst="rect">
                      <a:avLst/>
                    </a:prstGeom>
                    <a:noFill/>
                    <a:ln>
                      <a:noFill/>
                    </a:ln>
                  </pic:spPr>
                </pic:pic>
              </a:graphicData>
            </a:graphic>
          </wp:inline>
        </w:drawing>
      </w:r>
    </w:p>
    <w:p>
      <w:pPr>
        <w:widowControl/>
        <w:spacing w:before="156" w:beforeLines="50" w:after="156" w:afterLines="50" w:line="360" w:lineRule="auto"/>
        <w:ind w:left="420" w:firstLine="482" w:firstLineChars="200"/>
        <w:jc w:val="left"/>
        <w:rPr>
          <w:rFonts w:ascii="仿宋_GB2312" w:eastAsia="仿宋_GB2312"/>
          <w:szCs w:val="24"/>
        </w:rPr>
      </w:pPr>
      <w:r>
        <w:rPr>
          <w:rFonts w:hint="eastAsia" w:ascii="仿宋_GB2312" w:eastAsia="仿宋_GB2312"/>
          <w:b/>
          <w:bCs/>
          <w:szCs w:val="24"/>
        </w:rPr>
        <w:t>注：</w:t>
      </w:r>
      <w:r>
        <w:rPr>
          <w:rFonts w:hint="eastAsia" w:ascii="仿宋_GB2312" w:eastAsia="仿宋_GB2312"/>
          <w:szCs w:val="24"/>
        </w:rPr>
        <w:t>此时，报表所有信息将无法修改。单位若修改数据，需联系上级单位将数据退回。</w:t>
      </w:r>
    </w:p>
    <w:p>
      <w:pPr>
        <w:pStyle w:val="4"/>
        <w:rPr>
          <w:rFonts w:eastAsia="仿宋" w:asciiTheme="minorHAnsi" w:hAnsiTheme="minorHAnsi" w:cstheme="minorBidi"/>
        </w:rPr>
      </w:pPr>
      <w:bookmarkStart w:id="17" w:name="_Toc9993"/>
      <w:r>
        <w:rPr>
          <w:rFonts w:hint="eastAsia" w:eastAsia="仿宋" w:asciiTheme="minorHAnsi" w:hAnsiTheme="minorHAnsi" w:cstheme="minorBidi"/>
        </w:rPr>
        <w:t>报表打印</w:t>
      </w:r>
      <w:bookmarkEnd w:id="17"/>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报表上报后，单位可对本套报表进行打印，点击【打印】，在弹出的选择打印方案对话框中选择“选择报表”，勾选需打印的报表，点击【确定】，“打印方案”选择“默认打印方案”，点击确定，进行打印或下载PDF文件，如下图：</w:t>
      </w:r>
    </w:p>
    <w:p>
      <w:pPr>
        <w:pStyle w:val="2"/>
      </w:pPr>
      <w:r>
        <w:drawing>
          <wp:inline distT="0" distB="0" distL="114300" distR="114300">
            <wp:extent cx="5266690" cy="2570480"/>
            <wp:effectExtent l="0" t="0" r="10160" b="1270"/>
            <wp:docPr id="16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9"/>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pPr>
        <w:pStyle w:val="3"/>
      </w:pPr>
      <w:bookmarkStart w:id="18" w:name="_Toc13479"/>
      <w:r>
        <w:rPr>
          <w:rFonts w:hint="eastAsia"/>
        </w:rPr>
        <w:t>主管部门汇总</w:t>
      </w:r>
      <w:bookmarkEnd w:id="18"/>
    </w:p>
    <w:p>
      <w:pPr>
        <w:pStyle w:val="4"/>
        <w:rPr>
          <w:rFonts w:ascii="仿宋" w:hAnsi="仿宋" w:eastAsia="仿宋" w:cs="仿宋"/>
        </w:rPr>
      </w:pPr>
      <w:bookmarkStart w:id="19" w:name="_Toc16971"/>
      <w:r>
        <w:rPr>
          <w:rFonts w:hint="eastAsia" w:ascii="仿宋" w:hAnsi="仿宋" w:eastAsia="仿宋" w:cs="仿宋"/>
        </w:rPr>
        <w:t>系统登录</w:t>
      </w:r>
      <w:bookmarkEnd w:id="19"/>
    </w:p>
    <w:p>
      <w:pPr>
        <w:spacing w:line="360" w:lineRule="auto"/>
        <w:ind w:firstLine="420"/>
        <w:rPr>
          <w:rFonts w:ascii="仿宋_GB2312" w:eastAsia="仿宋_GB2312" w:cs="Times New Roman"/>
          <w:szCs w:val="24"/>
        </w:rPr>
      </w:pPr>
      <w:r>
        <w:rPr>
          <w:rFonts w:hint="eastAsia" w:ascii="仿宋_GB2312" w:eastAsia="仿宋_GB2312" w:cs="Times New Roman"/>
          <w:szCs w:val="24"/>
        </w:rPr>
        <w:t>打开浏览器，输入服务地址https://zcgl.ggj.gov.cn，点击回车，进入系统登录界面，输入账号、密码，点击【登录】。如下图：</w:t>
      </w:r>
    </w:p>
    <w:p>
      <w:pPr>
        <w:pStyle w:val="55"/>
        <w:spacing w:line="360" w:lineRule="auto"/>
        <w:ind w:firstLine="0"/>
        <w:rPr>
          <w:rFonts w:ascii="仿宋_GB2312" w:eastAsia="仿宋_GB2312"/>
          <w:sz w:val="24"/>
        </w:rPr>
      </w:pPr>
      <w:r>
        <w:drawing>
          <wp:inline distT="0" distB="0" distL="114300" distR="114300">
            <wp:extent cx="5266690" cy="2570480"/>
            <wp:effectExtent l="0" t="0" r="10160" b="1270"/>
            <wp:docPr id="1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
                    <pic:cNvPicPr>
                      <a:picLocks noChangeAspect="1"/>
                    </pic:cNvPicPr>
                  </pic:nvPicPr>
                  <pic:blipFill>
                    <a:blip r:embed="rId5"/>
                    <a:stretch>
                      <a:fillRect/>
                    </a:stretch>
                  </pic:blipFill>
                  <pic:spPr>
                    <a:xfrm>
                      <a:off x="0" y="0"/>
                      <a:ext cx="5266690" cy="2570480"/>
                    </a:xfrm>
                    <a:prstGeom prst="rect">
                      <a:avLst/>
                    </a:prstGeom>
                    <a:noFill/>
                    <a:ln>
                      <a:noFill/>
                    </a:ln>
                  </pic:spPr>
                </pic:pic>
              </a:graphicData>
            </a:graphic>
          </wp:inline>
        </w:drawing>
      </w:r>
    </w:p>
    <w:p>
      <w:pPr>
        <w:pStyle w:val="4"/>
        <w:rPr>
          <w:rFonts w:ascii="仿宋" w:hAnsi="仿宋" w:eastAsia="仿宋" w:cs="仿宋"/>
        </w:rPr>
      </w:pPr>
      <w:bookmarkStart w:id="20" w:name="_Toc26132"/>
      <w:r>
        <w:rPr>
          <w:rFonts w:hint="eastAsia" w:ascii="仿宋" w:hAnsi="仿宋" w:eastAsia="仿宋" w:cs="仿宋"/>
        </w:rPr>
        <w:t>数据汇总</w:t>
      </w:r>
      <w:bookmarkEnd w:id="20"/>
    </w:p>
    <w:p>
      <w:pPr>
        <w:pStyle w:val="5"/>
      </w:pPr>
      <w:bookmarkStart w:id="21" w:name="_Toc1034"/>
      <w:r>
        <w:rPr>
          <w:rFonts w:hint="eastAsia"/>
        </w:rPr>
        <w:t>进入“房屋资产统计”模块</w:t>
      </w:r>
      <w:bookmarkEnd w:id="21"/>
    </w:p>
    <w:p>
      <w:pPr>
        <w:spacing w:line="360" w:lineRule="auto"/>
        <w:ind w:firstLine="420"/>
        <w:rPr>
          <w:rFonts w:ascii="仿宋_GB2312" w:eastAsia="仿宋_GB2312"/>
          <w:szCs w:val="24"/>
        </w:rPr>
      </w:pPr>
      <w:r>
        <w:rPr>
          <w:rFonts w:hint="eastAsia" w:ascii="仿宋_GB2312" w:eastAsia="仿宋_GB2312"/>
          <w:szCs w:val="24"/>
        </w:rPr>
        <w:t>登录中央行政事业单位国有资产管理服务平台后，点击上方【房屋资产统计】，如下图：</w:t>
      </w:r>
    </w:p>
    <w:p>
      <w:pPr>
        <w:pStyle w:val="2"/>
        <w:ind w:left="0" w:firstLine="0"/>
      </w:pPr>
      <w:r>
        <w:drawing>
          <wp:inline distT="0" distB="0" distL="114300" distR="114300">
            <wp:extent cx="5266690" cy="2570480"/>
            <wp:effectExtent l="0" t="0" r="10160" b="1270"/>
            <wp:docPr id="1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7"/>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jc w:val="left"/>
        <w:rPr>
          <w:rFonts w:ascii="仿宋_GB2312" w:eastAsia="仿宋_GB2312"/>
          <w:szCs w:val="24"/>
        </w:rPr>
      </w:pPr>
      <w:r>
        <w:rPr>
          <w:rFonts w:hint="eastAsia" w:ascii="仿宋_GB2312" w:eastAsia="仿宋_GB2312"/>
          <w:szCs w:val="24"/>
        </w:rPr>
        <w:t>点击【房屋资产统计】，进入“房屋资产统计”模块首页，如下图：</w:t>
      </w:r>
    </w:p>
    <w:p>
      <w:pPr>
        <w:pStyle w:val="55"/>
        <w:spacing w:line="360" w:lineRule="auto"/>
        <w:ind w:firstLine="0"/>
        <w:jc w:val="both"/>
        <w:rPr>
          <w:rFonts w:ascii="仿宋_GB2312" w:eastAsia="仿宋_GB2312"/>
          <w:sz w:val="24"/>
        </w:rPr>
      </w:pPr>
      <w:r>
        <w:drawing>
          <wp:inline distT="0" distB="0" distL="114300" distR="114300">
            <wp:extent cx="5266690" cy="2570480"/>
            <wp:effectExtent l="0" t="0" r="10160" b="1270"/>
            <wp:docPr id="16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0"/>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spacing w:line="360" w:lineRule="auto"/>
        <w:ind w:firstLine="420"/>
        <w:rPr>
          <w:rFonts w:ascii="仿宋_GB2312" w:eastAsia="仿宋_GB2312"/>
          <w:szCs w:val="24"/>
        </w:rPr>
      </w:pPr>
      <w:r>
        <w:rPr>
          <w:rFonts w:hint="eastAsia" w:ascii="仿宋_GB2312" w:eastAsia="仿宋_GB2312"/>
          <w:b/>
          <w:bCs/>
          <w:szCs w:val="24"/>
        </w:rPr>
        <w:t>通知公告：</w:t>
      </w:r>
      <w:r>
        <w:rPr>
          <w:rFonts w:hint="eastAsia" w:ascii="仿宋_GB2312" w:eastAsia="仿宋_GB2312"/>
          <w:szCs w:val="24"/>
        </w:rPr>
        <w:t>该部分展示“房屋资产统计”相关通知，包括《国管局关于开展2022年度中央行政事业单位房屋资产统计工作的通知》、《房屋资产管理工作报告模板》，单位可自行查看、下载；</w:t>
      </w:r>
    </w:p>
    <w:p>
      <w:pPr>
        <w:spacing w:line="360" w:lineRule="auto"/>
        <w:ind w:firstLine="420"/>
        <w:rPr>
          <w:rFonts w:ascii="仿宋_GB2312" w:eastAsia="仿宋_GB2312"/>
          <w:szCs w:val="24"/>
        </w:rPr>
      </w:pPr>
      <w:r>
        <w:rPr>
          <w:rFonts w:hint="eastAsia" w:ascii="仿宋_GB2312" w:eastAsia="仿宋_GB2312"/>
          <w:b/>
          <w:bCs/>
          <w:szCs w:val="24"/>
        </w:rPr>
        <w:t>政策法规：</w:t>
      </w:r>
      <w:r>
        <w:rPr>
          <w:rFonts w:hint="eastAsia" w:ascii="仿宋_GB2312" w:eastAsia="仿宋_GB2312"/>
          <w:szCs w:val="24"/>
        </w:rPr>
        <w:t>该部分展示房屋资产管理相关政策法规，单位可自行点击查看。</w:t>
      </w:r>
    </w:p>
    <w:p>
      <w:pPr>
        <w:pStyle w:val="5"/>
        <w:rPr>
          <w:rFonts w:ascii="仿宋_GB2312" w:eastAsia="仿宋_GB2312"/>
          <w:szCs w:val="24"/>
        </w:rPr>
      </w:pPr>
      <w:bookmarkStart w:id="22" w:name="_Toc32742"/>
      <w:r>
        <w:rPr>
          <w:rFonts w:hint="eastAsia"/>
        </w:rPr>
        <w:t>进入汇总界面</w:t>
      </w:r>
      <w:bookmarkEnd w:id="22"/>
    </w:p>
    <w:p>
      <w:pPr>
        <w:widowControl/>
        <w:spacing w:before="156" w:beforeLines="50" w:after="156" w:afterLines="50" w:line="360" w:lineRule="auto"/>
        <w:ind w:left="420"/>
        <w:jc w:val="left"/>
        <w:rPr>
          <w:rFonts w:ascii="仿宋_GB2312" w:eastAsia="仿宋_GB2312"/>
          <w:szCs w:val="24"/>
        </w:rPr>
      </w:pPr>
      <w:r>
        <w:rPr>
          <w:rFonts w:hint="eastAsia" w:ascii="仿宋_GB2312" w:eastAsia="仿宋_GB2312"/>
          <w:szCs w:val="24"/>
        </w:rPr>
        <w:t>点击左侧功能树【报表填报】，进入汇总界面，如下图：</w:t>
      </w:r>
    </w:p>
    <w:p>
      <w:pPr>
        <w:pStyle w:val="2"/>
        <w:ind w:left="0" w:firstLine="420"/>
      </w:pPr>
      <w:r>
        <w:drawing>
          <wp:inline distT="0" distB="0" distL="114300" distR="114300">
            <wp:extent cx="5266690" cy="2570480"/>
            <wp:effectExtent l="0" t="0" r="10160" b="1270"/>
            <wp:docPr id="1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1"/>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进入汇总页面后，系统默认展示封面代码部分，系统已</w:t>
      </w:r>
      <w:r>
        <w:rPr>
          <w:rFonts w:hint="eastAsia" w:ascii="仿宋_GB2312" w:eastAsia="仿宋_GB2312"/>
          <w:szCs w:val="24"/>
          <w:lang w:eastAsia="zh-CN"/>
        </w:rPr>
        <w:t>预置</w:t>
      </w:r>
      <w:r>
        <w:rPr>
          <w:rFonts w:hint="eastAsia" w:ascii="仿宋_GB2312" w:eastAsia="仿宋_GB2312"/>
          <w:szCs w:val="24"/>
        </w:rPr>
        <w:t>2021年各单位封面代码信息，单位进行数据汇总时需检查封面代码信息，查漏补缺，如下图：</w:t>
      </w:r>
    </w:p>
    <w:p>
      <w:pPr>
        <w:pStyle w:val="2"/>
      </w:pPr>
      <w:r>
        <w:drawing>
          <wp:inline distT="0" distB="0" distL="114300" distR="114300">
            <wp:extent cx="5266690" cy="2570480"/>
            <wp:effectExtent l="0" t="0" r="10160" b="1270"/>
            <wp:docPr id="17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5"/>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封面代码信息修改、确认无误后，点击【保存】。</w:t>
      </w:r>
    </w:p>
    <w:p>
      <w:pPr>
        <w:pStyle w:val="5"/>
      </w:pPr>
      <w:bookmarkStart w:id="23" w:name="_Toc30216"/>
      <w:r>
        <w:rPr>
          <w:rFonts w:hint="eastAsia"/>
        </w:rPr>
        <w:t>数据汇总</w:t>
      </w:r>
      <w:bookmarkEnd w:id="23"/>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点击【汇总】，在弹出的“汇总设置”对话框后，汇总范围选择“所有下级”，报表选择“所有报表”，点击【确定】，如下图：</w:t>
      </w:r>
    </w:p>
    <w:p>
      <w:pPr>
        <w:pStyle w:val="2"/>
      </w:pPr>
      <w:r>
        <w:drawing>
          <wp:inline distT="0" distB="0" distL="114300" distR="114300">
            <wp:extent cx="5266690" cy="2570480"/>
            <wp:effectExtent l="0" t="0" r="10160" b="1270"/>
            <wp:docPr id="1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2"/>
                    <pic:cNvPicPr>
                      <a:picLocks noChangeAspect="1"/>
                    </pic:cNvPicPr>
                  </pic:nvPicPr>
                  <pic:blipFill>
                    <a:blip r:embed="rId31"/>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汇总完成后，在报表右下角会提示“汇总完成”，如下图：</w:t>
      </w:r>
    </w:p>
    <w:p>
      <w:pPr>
        <w:pStyle w:val="2"/>
      </w:pPr>
      <w:r>
        <w:drawing>
          <wp:inline distT="0" distB="0" distL="114300" distR="114300">
            <wp:extent cx="5266690" cy="2570480"/>
            <wp:effectExtent l="0" t="0" r="10160" b="1270"/>
            <wp:docPr id="16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3"/>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p>
      <w:pPr>
        <w:pStyle w:val="4"/>
        <w:rPr>
          <w:rFonts w:ascii="仿宋" w:hAnsi="仿宋" w:eastAsia="仿宋" w:cs="仿宋"/>
        </w:rPr>
      </w:pPr>
      <w:bookmarkStart w:id="24" w:name="_Toc21936"/>
      <w:r>
        <w:rPr>
          <w:rFonts w:hint="eastAsia" w:ascii="仿宋" w:hAnsi="仿宋" w:eastAsia="仿宋" w:cs="仿宋"/>
        </w:rPr>
        <w:t>数据全审</w:t>
      </w:r>
      <w:bookmarkEnd w:id="24"/>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 w:hAnsi="仿宋" w:cs="仿宋"/>
        </w:rPr>
        <w:t>数据汇总完成后，</w:t>
      </w:r>
      <w:r>
        <w:rPr>
          <w:rFonts w:hint="eastAsia" w:ascii="仿宋_GB2312" w:eastAsia="仿宋_GB2312"/>
          <w:szCs w:val="24"/>
        </w:rPr>
        <w:t>点击【全审】，完成各表内及表间勾稽关系审核，如下图：</w:t>
      </w:r>
    </w:p>
    <w:p>
      <w:pPr>
        <w:ind w:firstLine="420"/>
      </w:pPr>
      <w:r>
        <w:drawing>
          <wp:inline distT="0" distB="0" distL="114300" distR="114300">
            <wp:extent cx="5266690" cy="2570480"/>
            <wp:effectExtent l="0" t="0" r="10160" b="1270"/>
            <wp:docPr id="1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44"/>
                    <pic:cNvPicPr>
                      <a:picLocks noChangeAspect="1"/>
                    </pic:cNvPicPr>
                  </pic:nvPicPr>
                  <pic:blipFill>
                    <a:blip r:embed="rId33"/>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全审执行后，若数据无问题，系统将提示“审核完成，没有错误”；当数据存在问题时，系统右侧会显示审核结果，并将相关审核信息进行列示。若存在审核错误，需根据错误信息进行数据检查、修改：若数据无误，则根据实际情况填写出错说明。</w:t>
      </w:r>
    </w:p>
    <w:p>
      <w:pPr>
        <w:pStyle w:val="4"/>
        <w:rPr>
          <w:rFonts w:ascii="仿宋" w:hAnsi="仿宋" w:eastAsia="仿宋" w:cs="仿宋"/>
        </w:rPr>
      </w:pPr>
      <w:bookmarkStart w:id="25" w:name="_Toc13055"/>
      <w:r>
        <w:rPr>
          <w:rFonts w:hint="eastAsia" w:ascii="仿宋" w:hAnsi="仿宋" w:eastAsia="仿宋" w:cs="仿宋"/>
        </w:rPr>
        <w:t>报告上传</w:t>
      </w:r>
      <w:bookmarkEnd w:id="25"/>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数据全审无错误型提示且无警告型错误或警告型错误已填写出错说明后，可将编辑好的工作报告上传。</w:t>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点击报表页签【工作报告】，进入报告上传界面，如下图：</w:t>
      </w:r>
    </w:p>
    <w:p>
      <w:pPr>
        <w:pStyle w:val="2"/>
      </w:pPr>
      <w:r>
        <w:drawing>
          <wp:inline distT="0" distB="0" distL="114300" distR="114300">
            <wp:extent cx="5266690" cy="2570480"/>
            <wp:effectExtent l="0" t="0" r="10160" b="1270"/>
            <wp:docPr id="1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7"/>
                    <pic:cNvPicPr>
                      <a:picLocks noChangeAspect="1"/>
                    </pic:cNvPicPr>
                  </pic:nvPicPr>
                  <pic:blipFill>
                    <a:blip r:embed="rId34"/>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点击</w:t>
      </w:r>
      <w:r>
        <w:rPr>
          <w:rFonts w:hint="eastAsia" w:ascii="仿宋_GB2312" w:eastAsia="仿宋_GB2312"/>
          <w:szCs w:val="24"/>
        </w:rPr>
        <w:drawing>
          <wp:inline distT="0" distB="0" distL="114300" distR="114300">
            <wp:extent cx="353060" cy="264795"/>
            <wp:effectExtent l="0" t="0" r="8890" b="1905"/>
            <wp:docPr id="1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5"/>
                    <pic:cNvPicPr>
                      <a:picLocks noChangeAspect="1"/>
                    </pic:cNvPicPr>
                  </pic:nvPicPr>
                  <pic:blipFill>
                    <a:blip r:embed="rId23"/>
                    <a:stretch>
                      <a:fillRect/>
                    </a:stretch>
                  </pic:blipFill>
                  <pic:spPr>
                    <a:xfrm>
                      <a:off x="0" y="0"/>
                      <a:ext cx="353060" cy="264795"/>
                    </a:xfrm>
                    <a:prstGeom prst="rect">
                      <a:avLst/>
                    </a:prstGeom>
                    <a:noFill/>
                    <a:ln>
                      <a:noFill/>
                    </a:ln>
                  </pic:spPr>
                </pic:pic>
              </a:graphicData>
            </a:graphic>
          </wp:inline>
        </w:drawing>
      </w:r>
      <w:r>
        <w:rPr>
          <w:rFonts w:hint="eastAsia" w:ascii="仿宋_GB2312" w:eastAsia="仿宋_GB2312"/>
          <w:szCs w:val="24"/>
        </w:rPr>
        <w:t>，在弹出的“附件管理”中点击【增加】，选择编辑好的工作报告，点击【关闭】，点击【保存】，完成工作报告上传操作，如下图：</w:t>
      </w:r>
    </w:p>
    <w:p>
      <w:pPr>
        <w:ind w:firstLine="420"/>
      </w:pPr>
      <w:r>
        <w:drawing>
          <wp:inline distT="0" distB="0" distL="114300" distR="114300">
            <wp:extent cx="5266690" cy="2570480"/>
            <wp:effectExtent l="0" t="0" r="10160" b="1270"/>
            <wp:docPr id="1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8"/>
                    <pic:cNvPicPr>
                      <a:picLocks noChangeAspect="1"/>
                    </pic:cNvPicPr>
                  </pic:nvPicPr>
                  <pic:blipFill>
                    <a:blip r:embed="rId35"/>
                    <a:stretch>
                      <a:fillRect/>
                    </a:stretch>
                  </pic:blipFill>
                  <pic:spPr>
                    <a:xfrm>
                      <a:off x="0" y="0"/>
                      <a:ext cx="5266690" cy="2570480"/>
                    </a:xfrm>
                    <a:prstGeom prst="rect">
                      <a:avLst/>
                    </a:prstGeom>
                    <a:noFill/>
                    <a:ln>
                      <a:noFill/>
                    </a:ln>
                  </pic:spPr>
                </pic:pic>
              </a:graphicData>
            </a:graphic>
          </wp:inline>
        </w:drawing>
      </w:r>
    </w:p>
    <w:p>
      <w:pPr>
        <w:pStyle w:val="4"/>
        <w:rPr>
          <w:rFonts w:ascii="仿宋" w:hAnsi="仿宋" w:eastAsia="仿宋" w:cs="仿宋"/>
        </w:rPr>
      </w:pPr>
      <w:bookmarkStart w:id="26" w:name="_Toc7918"/>
      <w:r>
        <w:rPr>
          <w:rFonts w:hint="eastAsia" w:ascii="仿宋" w:hAnsi="仿宋" w:eastAsia="仿宋" w:cs="仿宋"/>
        </w:rPr>
        <w:t>数据上报</w:t>
      </w:r>
      <w:bookmarkEnd w:id="26"/>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工作报告上传后，点击【上报】，弹出的“上报”对话框中点击【确定】完成数据上报，如下图：</w:t>
      </w:r>
    </w:p>
    <w:p>
      <w:pPr>
        <w:pStyle w:val="2"/>
      </w:pPr>
      <w:r>
        <w:drawing>
          <wp:inline distT="0" distB="0" distL="114300" distR="114300">
            <wp:extent cx="5266690" cy="2570480"/>
            <wp:effectExtent l="0" t="0" r="10160" b="1270"/>
            <wp:docPr id="1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9"/>
                    <pic:cNvPicPr>
                      <a:picLocks noChangeAspect="1"/>
                    </pic:cNvPicPr>
                  </pic:nvPicPr>
                  <pic:blipFill>
                    <a:blip r:embed="rId36"/>
                    <a:stretch>
                      <a:fillRect/>
                    </a:stretch>
                  </pic:blipFill>
                  <pic:spPr>
                    <a:xfrm>
                      <a:off x="0" y="0"/>
                      <a:ext cx="5266690" cy="2570480"/>
                    </a:xfrm>
                    <a:prstGeom prst="rect">
                      <a:avLst/>
                    </a:prstGeom>
                    <a:noFill/>
                    <a:ln>
                      <a:noFill/>
                    </a:ln>
                  </pic:spPr>
                </pic:pic>
              </a:graphicData>
            </a:graphic>
          </wp:inline>
        </w:drawing>
      </w:r>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上报操作执行完成后，单位状态栏中报表状态变为“只读”，单位状态变为“已上报”，如下图：</w:t>
      </w:r>
    </w:p>
    <w:p>
      <w:pPr>
        <w:pStyle w:val="2"/>
      </w:pPr>
      <w:r>
        <w:drawing>
          <wp:inline distT="0" distB="0" distL="114300" distR="114300">
            <wp:extent cx="5271770" cy="408940"/>
            <wp:effectExtent l="0" t="0" r="5080" b="10160"/>
            <wp:docPr id="1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0"/>
                    <pic:cNvPicPr>
                      <a:picLocks noChangeAspect="1"/>
                    </pic:cNvPicPr>
                  </pic:nvPicPr>
                  <pic:blipFill>
                    <a:blip r:embed="rId37"/>
                    <a:stretch>
                      <a:fillRect/>
                    </a:stretch>
                  </pic:blipFill>
                  <pic:spPr>
                    <a:xfrm>
                      <a:off x="0" y="0"/>
                      <a:ext cx="5271770" cy="408940"/>
                    </a:xfrm>
                    <a:prstGeom prst="rect">
                      <a:avLst/>
                    </a:prstGeom>
                    <a:noFill/>
                    <a:ln>
                      <a:noFill/>
                    </a:ln>
                  </pic:spPr>
                </pic:pic>
              </a:graphicData>
            </a:graphic>
          </wp:inline>
        </w:drawing>
      </w:r>
    </w:p>
    <w:p>
      <w:pPr>
        <w:widowControl/>
        <w:spacing w:before="156" w:beforeLines="50" w:after="156" w:afterLines="50" w:line="360" w:lineRule="auto"/>
        <w:ind w:left="420" w:firstLine="482" w:firstLineChars="200"/>
        <w:jc w:val="left"/>
        <w:rPr>
          <w:rFonts w:ascii="仿宋_GB2312" w:eastAsia="仿宋_GB2312"/>
          <w:szCs w:val="24"/>
        </w:rPr>
      </w:pPr>
      <w:r>
        <w:rPr>
          <w:rFonts w:hint="eastAsia" w:ascii="仿宋_GB2312" w:eastAsia="仿宋_GB2312"/>
          <w:b/>
          <w:bCs/>
          <w:szCs w:val="24"/>
        </w:rPr>
        <w:t>注：</w:t>
      </w:r>
      <w:r>
        <w:rPr>
          <w:rFonts w:hint="eastAsia" w:ascii="仿宋_GB2312" w:eastAsia="仿宋_GB2312"/>
          <w:szCs w:val="24"/>
        </w:rPr>
        <w:t>此时，报表所有信息将无法修改。单位若修改数据，需联系上级单位将数据退回。</w:t>
      </w:r>
    </w:p>
    <w:p>
      <w:pPr>
        <w:pStyle w:val="4"/>
        <w:rPr>
          <w:rFonts w:ascii="仿宋" w:hAnsi="仿宋" w:eastAsia="仿宋" w:cs="仿宋"/>
        </w:rPr>
      </w:pPr>
      <w:bookmarkStart w:id="27" w:name="_Toc9596"/>
      <w:r>
        <w:rPr>
          <w:rFonts w:hint="eastAsia" w:ascii="仿宋" w:hAnsi="仿宋" w:eastAsia="仿宋" w:cs="仿宋"/>
        </w:rPr>
        <w:t>报表打印</w:t>
      </w:r>
      <w:bookmarkEnd w:id="27"/>
    </w:p>
    <w:p>
      <w:pPr>
        <w:widowControl/>
        <w:spacing w:before="156" w:beforeLines="50" w:after="156" w:afterLines="50" w:line="360" w:lineRule="auto"/>
        <w:ind w:left="420" w:firstLine="480" w:firstLineChars="200"/>
        <w:jc w:val="left"/>
        <w:rPr>
          <w:rFonts w:ascii="仿宋_GB2312" w:eastAsia="仿宋_GB2312"/>
          <w:szCs w:val="24"/>
        </w:rPr>
      </w:pPr>
      <w:r>
        <w:rPr>
          <w:rFonts w:hint="eastAsia" w:ascii="仿宋_GB2312" w:eastAsia="仿宋_GB2312"/>
          <w:szCs w:val="24"/>
        </w:rPr>
        <w:t>报表上报后，单位可对本涛表表进行打印，点击【打印】，在弹出的选择打印方案对话框中选择“选择报表”，勾选需打印的报表，点击【确定】，“打印方案”选择“默认打印方案”，点击【确定】，进行打印或下载PDF文件，如下图：</w:t>
      </w:r>
    </w:p>
    <w:p>
      <w:pPr>
        <w:ind w:firstLine="420"/>
      </w:pPr>
      <w:r>
        <w:drawing>
          <wp:inline distT="0" distB="0" distL="114300" distR="114300">
            <wp:extent cx="5266690" cy="2570480"/>
            <wp:effectExtent l="0" t="0" r="10160" b="1270"/>
            <wp:docPr id="18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1"/>
                    <pic:cNvPicPr>
                      <a:picLocks noChangeAspect="1"/>
                    </pic:cNvPicPr>
                  </pic:nvPicPr>
                  <pic:blipFill>
                    <a:blip r:embed="rId38"/>
                    <a:stretch>
                      <a:fillRect/>
                    </a:stretch>
                  </pic:blipFill>
                  <pic:spPr>
                    <a:xfrm>
                      <a:off x="0" y="0"/>
                      <a:ext cx="5266690" cy="257048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341">
      <wne:acd wne:acdName="acd0"/>
    </wne:keymap>
    <wne:keymap wne:kcmPrimary="0344">
      <wne:acd wne:acdName="acd1"/>
    </wne:keymap>
    <wne:keymap wne:kcmPrimary="0351">
      <wne:acd wne:acdName="acd2"/>
    </wne:keymap>
    <wne:keymap wne:kcmPrimary="0353">
      <wne:acd wne:acdName="acd3"/>
    </wne:keymap>
    <wne:keymap wne:kcmPrimary="0357">
      <wne:acd wne:acdName="acd4"/>
    </wne:keymap>
  </wne:keymaps>
  <wne:acds>
    <wne:acd wne:argValue="AQAAAAIA" wne:acdName="acd0" wne:fciIndexBasedOn="0065"/>
    <wne:acd wne:argValue="AQAAAAQA" wne:acdName="acd1" wne:fciIndexBasedOn="0065"/>
    <wne:acd wne:argValue="AQAAAAUA" wne:acdName="acd2" wne:fciIndexBasedOn="0065"/>
    <wne:acd wne:argValue="AQAAAAMA" wne:acdName="acd3" wne:fciIndexBasedOn="0065"/>
    <wne:acd wne:argValue="AQAAAAYA" wne:acdName="acd4"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00000000" w:usb1="00000000" w:usb2="00000000" w:usb3="00000000" w:csb0="00160000" w:csb1="00000000"/>
  </w:font>
  <w:font w:name="仿宋_GB2312">
    <w:altName w:val="方正仿宋_GBK"/>
    <w:panose1 w:val="00000000000000000000"/>
    <w:charset w:val="86"/>
    <w:family w:val="modern"/>
    <w:pitch w:val="default"/>
    <w:sig w:usb0="00000000" w:usb1="00000000" w:usb2="00000000" w:usb3="00000000" w:csb0="00040000" w:csb1="00000000"/>
  </w:font>
  <w:font w:name="幼圆">
    <w:altName w:val="宋体-简"/>
    <w:panose1 w:val="02010509060101010101"/>
    <w:charset w:val="86"/>
    <w:family w:val="modern"/>
    <w:pitch w:val="default"/>
    <w:sig w:usb0="00000000" w:usb1="00000000" w:usb2="00000000" w:usb3="00000000" w:csb0="00040000" w:csb1="00000000"/>
  </w:font>
  <w:font w:name="宋体-简">
    <w:panose1 w:val="02010600040101010101"/>
    <w:charset w:val="86"/>
    <w:family w:val="auto"/>
    <w:pitch w:val="default"/>
    <w:sig w:usb0="00000000" w:usb1="00000000" w:usb2="00000000" w:usb3="00000000" w:csb0="00160000" w:csb1="00000000"/>
  </w:font>
  <w:font w:name="楷体_GB2312">
    <w:altName w:val="汉仪楷体简"/>
    <w:panose1 w:val="00000000000000000000"/>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冬青黑体简体中文">
    <w:panose1 w:val="020B0300000000000000"/>
    <w:charset w:val="86"/>
    <w:family w:val="auto"/>
    <w:pitch w:val="default"/>
    <w:sig w:usb0="00000000" w:usb1="00000000" w:usb2="00000000" w:usb3="00000000" w:csb0="0016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088759"/>
    </w:sdtPr>
    <w:sdtContent>
      <w:sdt>
        <w:sdtPr>
          <w:id w:val="1728636285"/>
        </w:sdtPr>
        <w:sdtContent>
          <w:p>
            <w:pPr>
              <w:pStyle w:val="1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622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633</w:t>
            </w:r>
            <w:r>
              <w:rPr>
                <w:b/>
                <w:bCs/>
                <w:sz w:val="24"/>
                <w:szCs w:val="24"/>
              </w:rPr>
              <w:fldChar w:fldCharType="end"/>
            </w:r>
          </w:p>
        </w:sdtContent>
      </w:sdt>
    </w:sdtContent>
  </w:sdt>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39272"/>
    <w:multiLevelType w:val="singleLevel"/>
    <w:tmpl w:val="BE439272"/>
    <w:lvl w:ilvl="0" w:tentative="0">
      <w:start w:val="1"/>
      <w:numFmt w:val="bullet"/>
      <w:lvlText w:val=""/>
      <w:lvlJc w:val="left"/>
      <w:pPr>
        <w:tabs>
          <w:tab w:val="left" w:pos="840"/>
        </w:tabs>
        <w:ind w:left="1260" w:hanging="420"/>
      </w:pPr>
      <w:rPr>
        <w:rFonts w:hint="default" w:ascii="Wingdings" w:hAnsi="Wingdings"/>
      </w:rPr>
    </w:lvl>
  </w:abstractNum>
  <w:abstractNum w:abstractNumId="1">
    <w:nsid w:val="D924B1CB"/>
    <w:multiLevelType w:val="singleLevel"/>
    <w:tmpl w:val="D924B1CB"/>
    <w:lvl w:ilvl="0" w:tentative="0">
      <w:start w:val="1"/>
      <w:numFmt w:val="bullet"/>
      <w:lvlText w:val=""/>
      <w:lvlJc w:val="left"/>
      <w:pPr>
        <w:ind w:left="420" w:hanging="420"/>
      </w:pPr>
      <w:rPr>
        <w:rFonts w:hint="default" w:ascii="Wingdings" w:hAnsi="Wingdings"/>
      </w:rPr>
    </w:lvl>
  </w:abstractNum>
  <w:abstractNum w:abstractNumId="2">
    <w:nsid w:val="0AEC36D2"/>
    <w:multiLevelType w:val="multilevel"/>
    <w:tmpl w:val="0AEC36D2"/>
    <w:lvl w:ilvl="0" w:tentative="0">
      <w:start w:val="1"/>
      <w:numFmt w:val="decimal"/>
      <w:pStyle w:val="68"/>
      <w:lvlText w:val="%1."/>
      <w:lvlJc w:val="left"/>
      <w:pPr>
        <w:ind w:left="1200" w:hanging="360"/>
      </w:pPr>
    </w:lvl>
    <w:lvl w:ilvl="1" w:tentative="0">
      <w:start w:val="1"/>
      <w:numFmt w:val="lowerLetter"/>
      <w:pStyle w:val="69"/>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D356871"/>
    <w:multiLevelType w:val="multilevel"/>
    <w:tmpl w:val="0D35687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22E67C14"/>
    <w:multiLevelType w:val="multilevel"/>
    <w:tmpl w:val="22E67C14"/>
    <w:lvl w:ilvl="0" w:tentative="0">
      <w:start w:val="1"/>
      <w:numFmt w:val="decimal"/>
      <w:lvlText w:val="%1 "/>
      <w:lvlJc w:val="left"/>
      <w:pPr>
        <w:ind w:left="432" w:hanging="432"/>
      </w:pPr>
      <w:rPr>
        <w:rFonts w:hint="default"/>
      </w:rPr>
    </w:lvl>
    <w:lvl w:ilvl="1" w:tentative="0">
      <w:start w:val="1"/>
      <w:numFmt w:val="lowerLetter"/>
      <w:pStyle w:val="67"/>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6554B17"/>
    <w:multiLevelType w:val="multilevel"/>
    <w:tmpl w:val="26554B17"/>
    <w:lvl w:ilvl="0" w:tentative="0">
      <w:start w:val="1"/>
      <w:numFmt w:val="chineseCountingThousand"/>
      <w:pStyle w:val="60"/>
      <w:lvlText w:val="%1、"/>
      <w:lvlJc w:val="left"/>
      <w:pPr>
        <w:tabs>
          <w:tab w:val="left" w:pos="600"/>
        </w:tabs>
        <w:ind w:left="957" w:hanging="357"/>
      </w:pPr>
      <w:rPr>
        <w:rFonts w:hint="eastAsia" w:ascii="宋体" w:eastAsia="宋体"/>
        <w:b w:val="0"/>
        <w:i w:val="0"/>
        <w:kern w:val="2"/>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D8C63C8"/>
    <w:multiLevelType w:val="multilevel"/>
    <w:tmpl w:val="3D8C63C8"/>
    <w:lvl w:ilvl="0" w:tentative="0">
      <w:start w:val="1"/>
      <w:numFmt w:val="bullet"/>
      <w:pStyle w:val="58"/>
      <w:lvlText w:val=""/>
      <w:lvlJc w:val="left"/>
      <w:pPr>
        <w:tabs>
          <w:tab w:val="left" w:pos="908"/>
        </w:tabs>
        <w:ind w:left="90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540B696C"/>
    <w:multiLevelType w:val="multilevel"/>
    <w:tmpl w:val="540B696C"/>
    <w:lvl w:ilvl="0" w:tentative="0">
      <w:start w:val="1"/>
      <w:numFmt w:val="decimal"/>
      <w:pStyle w:val="56"/>
      <w:lvlText w:val="图%1"/>
      <w:lvlJc w:val="left"/>
      <w:pPr>
        <w:ind w:left="3539" w:hanging="420"/>
      </w:pPr>
      <w:rPr>
        <w:rFonts w:hint="eastAsia"/>
        <w:b w:val="0"/>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8">
    <w:nsid w:val="60723E42"/>
    <w:multiLevelType w:val="multilevel"/>
    <w:tmpl w:val="60723E42"/>
    <w:lvl w:ilvl="0" w:tentative="0">
      <w:start w:val="0"/>
      <w:numFmt w:val="decimal"/>
      <w:pStyle w:val="59"/>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704C4375"/>
    <w:multiLevelType w:val="singleLevel"/>
    <w:tmpl w:val="704C4375"/>
    <w:lvl w:ilvl="0" w:tentative="0">
      <w:start w:val="1"/>
      <w:numFmt w:val="decimal"/>
      <w:lvlText w:val="%1)"/>
      <w:lvlJc w:val="left"/>
      <w:pPr>
        <w:tabs>
          <w:tab w:val="left" w:pos="840"/>
        </w:tabs>
        <w:ind w:left="1265" w:hanging="425"/>
      </w:pPr>
      <w:rPr>
        <w:rFonts w:hint="default"/>
      </w:rPr>
    </w:lvl>
  </w:abstractNum>
  <w:abstractNum w:abstractNumId="10">
    <w:nsid w:val="728E6044"/>
    <w:multiLevelType w:val="singleLevel"/>
    <w:tmpl w:val="728E6044"/>
    <w:lvl w:ilvl="0" w:tentative="0">
      <w:start w:val="1"/>
      <w:numFmt w:val="bullet"/>
      <w:lvlText w:val=""/>
      <w:lvlJc w:val="left"/>
      <w:pPr>
        <w:tabs>
          <w:tab w:val="left" w:pos="840"/>
        </w:tabs>
        <w:ind w:left="1260" w:hanging="420"/>
      </w:pPr>
      <w:rPr>
        <w:rFonts w:hint="default" w:ascii="Wingdings" w:hAnsi="Wingdings"/>
      </w:rPr>
    </w:lvl>
  </w:abstractNum>
  <w:num w:numId="1">
    <w:abstractNumId w:val="3"/>
    <w:lvlOverride w:ilvl="0">
      <w:lvl w:ilvl="0" w:tentative="1">
        <w:start w:val="1"/>
        <w:numFmt w:val="decimal"/>
        <w:pStyle w:val="3"/>
        <w:lvlText w:val="%1"/>
        <w:lvlJc w:val="left"/>
        <w:pPr>
          <w:ind w:left="425" w:hanging="425"/>
        </w:pPr>
        <w:rPr>
          <w:rFonts w:hint="eastAsia"/>
        </w:rPr>
      </w:lvl>
    </w:lvlOverride>
    <w:lvlOverride w:ilvl="1">
      <w:lvl w:ilvl="1" w:tentative="1">
        <w:start w:val="1"/>
        <w:numFmt w:val="decimal"/>
        <w:pStyle w:val="4"/>
        <w:lvlText w:val="%1.%2"/>
        <w:lvlJc w:val="left"/>
        <w:pPr>
          <w:ind w:left="992" w:hanging="567"/>
        </w:pPr>
        <w:rPr>
          <w:rFonts w:hint="eastAsia"/>
        </w:rPr>
      </w:lvl>
    </w:lvlOverride>
    <w:lvlOverride w:ilvl="2">
      <w:lvl w:ilvl="2" w:tentative="1">
        <w:start w:val="1"/>
        <w:numFmt w:val="decimal"/>
        <w:pStyle w:val="5"/>
        <w:lvlText w:val="%1.%2.%3"/>
        <w:lvlJc w:val="left"/>
        <w:pPr>
          <w:ind w:left="1418" w:hanging="567"/>
        </w:pPr>
        <w:rPr>
          <w:rFonts w:hint="eastAsia"/>
        </w:rPr>
      </w:lvl>
    </w:lvlOverride>
    <w:lvlOverride w:ilvl="3">
      <w:lvl w:ilvl="3" w:tentative="1">
        <w:start w:val="1"/>
        <w:numFmt w:val="decimal"/>
        <w:pStyle w:val="6"/>
        <w:lvlText w:val="%1.%2.%3.%4"/>
        <w:lvlJc w:val="left"/>
        <w:pPr>
          <w:ind w:left="1984" w:hanging="708"/>
        </w:pPr>
        <w:rPr>
          <w:rFonts w:hint="eastAsia"/>
        </w:rPr>
      </w:lvl>
    </w:lvlOverride>
    <w:lvlOverride w:ilvl="4">
      <w:lvl w:ilvl="4" w:tentative="1">
        <w:start w:val="1"/>
        <w:numFmt w:val="decimal"/>
        <w:pStyle w:val="7"/>
        <w:lvlText w:val="%1.%2.%3.%4.%5"/>
        <w:lvlJc w:val="left"/>
        <w:pPr>
          <w:ind w:left="2551" w:hanging="850"/>
        </w:pPr>
        <w:rPr>
          <w:rFonts w:hint="eastAsia"/>
        </w:rPr>
      </w:lvl>
    </w:lvlOverride>
    <w:lvlOverride w:ilvl="5">
      <w:lvl w:ilvl="5" w:tentative="1">
        <w:start w:val="1"/>
        <w:numFmt w:val="decimal"/>
        <w:pStyle w:val="8"/>
        <w:lvlText w:val="%1.%2.%3.%4.%5.%6"/>
        <w:lvlJc w:val="left"/>
        <w:pPr>
          <w:ind w:left="3260" w:hanging="1134"/>
        </w:pPr>
        <w:rPr>
          <w:rFonts w:hint="eastAsia"/>
        </w:rPr>
      </w:lvl>
    </w:lvlOverride>
    <w:lvlOverride w:ilvl="6">
      <w:lvl w:ilvl="6" w:tentative="1">
        <w:start w:val="1"/>
        <w:numFmt w:val="decimal"/>
        <w:pStyle w:val="9"/>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
    <w:abstractNumId w:val="7"/>
  </w:num>
  <w:num w:numId="3">
    <w:abstractNumId w:val="6"/>
  </w:num>
  <w:num w:numId="4">
    <w:abstractNumId w:val="8"/>
  </w:num>
  <w:num w:numId="5">
    <w:abstractNumId w:val="5"/>
  </w:num>
  <w:num w:numId="6">
    <w:abstractNumId w:val="4"/>
  </w:num>
  <w:num w:numId="7">
    <w:abstractNumId w:val="2"/>
  </w:num>
  <w:num w:numId="8">
    <w:abstractNumId w:val="9"/>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FhNGU2MThiMTI2MjdjYTlmNzI0NzFhNjg4YTIwZWYifQ=="/>
  </w:docVars>
  <w:rsids>
    <w:rsidRoot w:val="00AD5BC9"/>
    <w:rsid w:val="0001170B"/>
    <w:rsid w:val="00153237"/>
    <w:rsid w:val="0023235F"/>
    <w:rsid w:val="00276EB8"/>
    <w:rsid w:val="002A039F"/>
    <w:rsid w:val="00330F08"/>
    <w:rsid w:val="003706B4"/>
    <w:rsid w:val="004E776F"/>
    <w:rsid w:val="005C2280"/>
    <w:rsid w:val="006171B7"/>
    <w:rsid w:val="008C2BC1"/>
    <w:rsid w:val="008C7EB3"/>
    <w:rsid w:val="0090047C"/>
    <w:rsid w:val="009311B7"/>
    <w:rsid w:val="00964D29"/>
    <w:rsid w:val="00996C20"/>
    <w:rsid w:val="009A409E"/>
    <w:rsid w:val="00AB13F0"/>
    <w:rsid w:val="00AC4384"/>
    <w:rsid w:val="00AD5BC9"/>
    <w:rsid w:val="00B605D0"/>
    <w:rsid w:val="00C11A7A"/>
    <w:rsid w:val="00C246E2"/>
    <w:rsid w:val="00C82A07"/>
    <w:rsid w:val="00C870B5"/>
    <w:rsid w:val="00FB328B"/>
    <w:rsid w:val="00FF164D"/>
    <w:rsid w:val="097A7FD3"/>
    <w:rsid w:val="099F3D57"/>
    <w:rsid w:val="0AC0410C"/>
    <w:rsid w:val="0B8909A2"/>
    <w:rsid w:val="0B9C06D5"/>
    <w:rsid w:val="10A1053B"/>
    <w:rsid w:val="140B660D"/>
    <w:rsid w:val="15437E13"/>
    <w:rsid w:val="1B1E2EB4"/>
    <w:rsid w:val="1C511068"/>
    <w:rsid w:val="20174376"/>
    <w:rsid w:val="27B4525C"/>
    <w:rsid w:val="27FA2EE0"/>
    <w:rsid w:val="2A9870B5"/>
    <w:rsid w:val="2FC5794B"/>
    <w:rsid w:val="310444A3"/>
    <w:rsid w:val="313A3EF8"/>
    <w:rsid w:val="3CA1529C"/>
    <w:rsid w:val="4C6205A3"/>
    <w:rsid w:val="4EF068FC"/>
    <w:rsid w:val="5A0A5DFB"/>
    <w:rsid w:val="5E1E62F4"/>
    <w:rsid w:val="5FEEDA81"/>
    <w:rsid w:val="612B5EB6"/>
    <w:rsid w:val="63412069"/>
    <w:rsid w:val="65CC5815"/>
    <w:rsid w:val="66C11519"/>
    <w:rsid w:val="72225F5B"/>
    <w:rsid w:val="73BBC796"/>
    <w:rsid w:val="7C303ABB"/>
    <w:rsid w:val="7D7F14CD"/>
    <w:rsid w:val="7E5F066D"/>
    <w:rsid w:val="7ED42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 w:asciiTheme="minorHAnsi" w:hAnsiTheme="minorHAnsi" w:cstheme="minorBidi"/>
      <w:kern w:val="2"/>
      <w:sz w:val="24"/>
      <w:szCs w:val="22"/>
      <w:lang w:val="en-US" w:eastAsia="zh-CN" w:bidi="ar-SA"/>
    </w:rPr>
  </w:style>
  <w:style w:type="paragraph" w:styleId="3">
    <w:name w:val="heading 1"/>
    <w:basedOn w:val="1"/>
    <w:next w:val="1"/>
    <w:link w:val="29"/>
    <w:qFormat/>
    <w:uiPriority w:val="9"/>
    <w:pPr>
      <w:keepNext/>
      <w:keepLines/>
      <w:numPr>
        <w:ilvl w:val="0"/>
        <w:numId w:val="1"/>
      </w:numPr>
      <w:spacing w:before="340" w:after="330" w:line="578" w:lineRule="auto"/>
      <w:outlineLvl w:val="0"/>
    </w:pPr>
    <w:rPr>
      <w:b/>
      <w:bCs/>
      <w:kern w:val="44"/>
      <w:sz w:val="32"/>
      <w:szCs w:val="44"/>
    </w:rPr>
  </w:style>
  <w:style w:type="paragraph" w:styleId="4">
    <w:name w:val="heading 2"/>
    <w:basedOn w:val="1"/>
    <w:next w:val="1"/>
    <w:link w:val="30"/>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28"/>
      <w:szCs w:val="32"/>
    </w:rPr>
  </w:style>
  <w:style w:type="paragraph" w:styleId="5">
    <w:name w:val="heading 3"/>
    <w:basedOn w:val="1"/>
    <w:next w:val="1"/>
    <w:link w:val="31"/>
    <w:unhideWhenUsed/>
    <w:qFormat/>
    <w:uiPriority w:val="0"/>
    <w:pPr>
      <w:keepNext/>
      <w:keepLines/>
      <w:numPr>
        <w:ilvl w:val="2"/>
        <w:numId w:val="1"/>
      </w:numPr>
      <w:spacing w:before="260" w:after="260" w:line="416" w:lineRule="auto"/>
      <w:outlineLvl w:val="2"/>
    </w:pPr>
    <w:rPr>
      <w:bCs/>
      <w:sz w:val="28"/>
      <w:szCs w:val="32"/>
    </w:rPr>
  </w:style>
  <w:style w:type="paragraph" w:styleId="6">
    <w:name w:val="heading 4"/>
    <w:basedOn w:val="1"/>
    <w:next w:val="1"/>
    <w:link w:val="28"/>
    <w:qFormat/>
    <w:uiPriority w:val="0"/>
    <w:pPr>
      <w:keepNext/>
      <w:keepLines/>
      <w:numPr>
        <w:ilvl w:val="3"/>
        <w:numId w:val="1"/>
      </w:numPr>
      <w:tabs>
        <w:tab w:val="left" w:pos="630"/>
      </w:tabs>
      <w:spacing w:before="280" w:after="290" w:line="377" w:lineRule="auto"/>
      <w:ind w:left="1333" w:hanging="709"/>
      <w:outlineLvl w:val="3"/>
    </w:pPr>
    <w:rPr>
      <w:rFonts w:ascii="Times New Roman" w:hAnsi="Times New Roman"/>
      <w:bCs/>
      <w:sz w:val="28"/>
      <w:szCs w:val="24"/>
    </w:rPr>
  </w:style>
  <w:style w:type="paragraph" w:styleId="7">
    <w:name w:val="heading 5"/>
    <w:basedOn w:val="1"/>
    <w:next w:val="1"/>
    <w:link w:val="32"/>
    <w:unhideWhenUsed/>
    <w:qFormat/>
    <w:uiPriority w:val="0"/>
    <w:pPr>
      <w:keepNext/>
      <w:keepLines/>
      <w:numPr>
        <w:ilvl w:val="4"/>
        <w:numId w:val="1"/>
      </w:numPr>
      <w:spacing w:before="280" w:after="290" w:line="377" w:lineRule="auto"/>
      <w:ind w:left="1531" w:hanging="851"/>
      <w:outlineLvl w:val="4"/>
    </w:pPr>
    <w:rPr>
      <w:bCs/>
      <w:sz w:val="28"/>
      <w:szCs w:val="28"/>
    </w:rPr>
  </w:style>
  <w:style w:type="paragraph" w:styleId="8">
    <w:name w:val="heading 6"/>
    <w:basedOn w:val="1"/>
    <w:next w:val="1"/>
    <w:link w:val="33"/>
    <w:unhideWhenUsed/>
    <w:qFormat/>
    <w:uiPriority w:val="0"/>
    <w:pPr>
      <w:keepNext/>
      <w:keepLines/>
      <w:numPr>
        <w:ilvl w:val="5"/>
        <w:numId w:val="1"/>
      </w:numPr>
      <w:spacing w:before="240" w:after="64" w:line="319" w:lineRule="auto"/>
      <w:ind w:left="1871"/>
      <w:outlineLvl w:val="5"/>
    </w:pPr>
    <w:rPr>
      <w:rFonts w:asciiTheme="majorHAnsi" w:hAnsiTheme="majorHAnsi" w:eastAsiaTheme="majorEastAsia" w:cstheme="majorBidi"/>
      <w:b/>
      <w:bCs/>
      <w:szCs w:val="24"/>
    </w:rPr>
  </w:style>
  <w:style w:type="paragraph" w:styleId="9">
    <w:name w:val="heading 7"/>
    <w:basedOn w:val="1"/>
    <w:next w:val="1"/>
    <w:link w:val="34"/>
    <w:semiHidden/>
    <w:unhideWhenUsed/>
    <w:qFormat/>
    <w:uiPriority w:val="9"/>
    <w:pPr>
      <w:keepNext/>
      <w:keepLines/>
      <w:numPr>
        <w:ilvl w:val="6"/>
        <w:numId w:val="1"/>
      </w:numPr>
      <w:spacing w:before="240" w:after="64" w:line="320" w:lineRule="auto"/>
      <w:outlineLvl w:val="6"/>
    </w:pPr>
    <w:rPr>
      <w:b/>
      <w:bCs/>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0"/>
    <w:pPr>
      <w:ind w:left="-3" w:firstLine="360"/>
    </w:pPr>
    <w:rPr>
      <w:rFonts w:ascii="微软雅黑" w:hAnsi="微软雅黑"/>
    </w:rPr>
  </w:style>
  <w:style w:type="paragraph" w:styleId="10">
    <w:name w:val="caption"/>
    <w:next w:val="1"/>
    <w:qFormat/>
    <w:uiPriority w:val="0"/>
    <w:pPr>
      <w:spacing w:before="50" w:beforeLines="50" w:after="50" w:afterLines="50" w:line="300" w:lineRule="auto"/>
      <w:ind w:firstLine="420" w:firstLineChars="200"/>
      <w:jc w:val="center"/>
    </w:pPr>
    <w:rPr>
      <w:rFonts w:ascii="宋体" w:hAnsi="宋体" w:eastAsia="宋体" w:cs="Arial"/>
      <w:kern w:val="2"/>
      <w:sz w:val="21"/>
      <w:szCs w:val="22"/>
      <w:lang w:val="en-US" w:eastAsia="zh-CN" w:bidi="ar-SA"/>
    </w:rPr>
  </w:style>
  <w:style w:type="paragraph" w:styleId="11">
    <w:name w:val="annotation text"/>
    <w:basedOn w:val="1"/>
    <w:link w:val="36"/>
    <w:semiHidden/>
    <w:unhideWhenUsed/>
    <w:qFormat/>
    <w:uiPriority w:val="99"/>
    <w:pPr>
      <w:jc w:val="left"/>
    </w:pPr>
    <w:rPr>
      <w:rFonts w:eastAsiaTheme="minorEastAsia"/>
      <w:sz w:val="21"/>
    </w:rPr>
  </w:style>
  <w:style w:type="paragraph" w:styleId="12">
    <w:name w:val="Body Text"/>
    <w:basedOn w:val="1"/>
    <w:next w:val="13"/>
    <w:link w:val="37"/>
    <w:unhideWhenUsed/>
    <w:qFormat/>
    <w:uiPriority w:val="0"/>
    <w:pPr>
      <w:spacing w:after="120"/>
    </w:pPr>
    <w:rPr>
      <w:rFonts w:eastAsiaTheme="minorEastAsia"/>
      <w:sz w:val="21"/>
    </w:rPr>
  </w:style>
  <w:style w:type="paragraph" w:styleId="13">
    <w:name w:val="Body Text First Indent"/>
    <w:basedOn w:val="12"/>
    <w:link w:val="38"/>
    <w:qFormat/>
    <w:uiPriority w:val="0"/>
    <w:pPr>
      <w:ind w:firstLine="420"/>
    </w:pPr>
  </w:style>
  <w:style w:type="paragraph" w:styleId="14">
    <w:name w:val="toc 3"/>
    <w:basedOn w:val="15"/>
    <w:next w:val="1"/>
    <w:unhideWhenUsed/>
    <w:qFormat/>
    <w:uiPriority w:val="39"/>
    <w:pPr>
      <w:ind w:left="840" w:leftChars="400"/>
    </w:pPr>
  </w:style>
  <w:style w:type="paragraph" w:styleId="15">
    <w:name w:val="toc 2"/>
    <w:basedOn w:val="1"/>
    <w:next w:val="1"/>
    <w:unhideWhenUsed/>
    <w:qFormat/>
    <w:uiPriority w:val="39"/>
    <w:pPr>
      <w:ind w:left="420" w:leftChars="200"/>
    </w:pPr>
  </w:style>
  <w:style w:type="paragraph" w:styleId="16">
    <w:name w:val="Body Text Indent 2"/>
    <w:basedOn w:val="1"/>
    <w:link w:val="35"/>
    <w:qFormat/>
    <w:uiPriority w:val="0"/>
    <w:pPr>
      <w:spacing w:after="120" w:line="480" w:lineRule="auto"/>
      <w:ind w:left="420" w:leftChars="200"/>
    </w:pPr>
    <w:rPr>
      <w:rFonts w:eastAsiaTheme="minorEastAsia"/>
      <w:sz w:val="21"/>
    </w:rPr>
  </w:style>
  <w:style w:type="paragraph" w:styleId="17">
    <w:name w:val="footer"/>
    <w:basedOn w:val="1"/>
    <w:link w:val="39"/>
    <w:unhideWhenUsed/>
    <w:qFormat/>
    <w:uiPriority w:val="99"/>
    <w:pPr>
      <w:tabs>
        <w:tab w:val="center" w:pos="4153"/>
        <w:tab w:val="right" w:pos="8306"/>
      </w:tabs>
      <w:snapToGrid w:val="0"/>
      <w:jc w:val="left"/>
    </w:pPr>
    <w:rPr>
      <w:rFonts w:eastAsiaTheme="minorEastAsia"/>
      <w:sz w:val="18"/>
      <w:szCs w:val="18"/>
    </w:rPr>
  </w:style>
  <w:style w:type="paragraph" w:styleId="18">
    <w:name w:val="header"/>
    <w:basedOn w:val="1"/>
    <w:link w:val="40"/>
    <w:unhideWhenUsed/>
    <w:qFormat/>
    <w:uiPriority w:val="99"/>
    <w:pPr>
      <w:pBdr>
        <w:bottom w:val="single" w:color="auto" w:sz="6" w:space="1"/>
      </w:pBdr>
      <w:tabs>
        <w:tab w:val="center" w:pos="4153"/>
        <w:tab w:val="right" w:pos="8306"/>
      </w:tabs>
      <w:snapToGrid w:val="0"/>
      <w:jc w:val="center"/>
    </w:pPr>
    <w:rPr>
      <w:rFonts w:eastAsiaTheme="minorEastAsia"/>
      <w:sz w:val="18"/>
      <w:szCs w:val="18"/>
    </w:rPr>
  </w:style>
  <w:style w:type="paragraph" w:styleId="19">
    <w:name w:val="toc 1"/>
    <w:basedOn w:val="1"/>
    <w:next w:val="1"/>
    <w:unhideWhenUsed/>
    <w:qFormat/>
    <w:uiPriority w:val="39"/>
  </w:style>
  <w:style w:type="paragraph" w:styleId="20">
    <w:name w:val="Normal (Web)"/>
    <w:basedOn w:val="1"/>
    <w:semiHidden/>
    <w:unhideWhenUsed/>
    <w:qFormat/>
    <w:uiPriority w:val="99"/>
    <w:pPr>
      <w:spacing w:beforeAutospacing="1" w:afterAutospacing="1"/>
      <w:jc w:val="left"/>
    </w:pPr>
    <w:rPr>
      <w:rFonts w:cs="Times New Roman" w:eastAsiaTheme="minorEastAsia"/>
      <w:kern w:val="0"/>
    </w:rPr>
  </w:style>
  <w:style w:type="paragraph" w:styleId="21">
    <w:name w:val="Title"/>
    <w:basedOn w:val="1"/>
    <w:next w:val="1"/>
    <w:link w:val="41"/>
    <w:qFormat/>
    <w:uiPriority w:val="10"/>
    <w:pPr>
      <w:spacing w:before="240" w:after="60"/>
      <w:jc w:val="center"/>
      <w:outlineLvl w:val="0"/>
    </w:pPr>
    <w:rPr>
      <w:rFonts w:asciiTheme="majorHAnsi" w:hAnsiTheme="majorHAnsi" w:eastAsiaTheme="majorEastAsia" w:cstheme="majorBidi"/>
      <w:b/>
      <w:bCs/>
      <w:sz w:val="32"/>
      <w:szCs w:val="32"/>
    </w:rPr>
  </w:style>
  <w:style w:type="paragraph" w:styleId="22">
    <w:name w:val="annotation subject"/>
    <w:basedOn w:val="11"/>
    <w:next w:val="11"/>
    <w:link w:val="42"/>
    <w:semiHidden/>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qFormat/>
    <w:uiPriority w:val="99"/>
    <w:rPr>
      <w:color w:val="0000FF"/>
      <w:u w:val="single"/>
    </w:rPr>
  </w:style>
  <w:style w:type="character" w:styleId="27">
    <w:name w:val="annotation reference"/>
    <w:basedOn w:val="25"/>
    <w:semiHidden/>
    <w:unhideWhenUsed/>
    <w:qFormat/>
    <w:uiPriority w:val="99"/>
    <w:rPr>
      <w:sz w:val="21"/>
      <w:szCs w:val="21"/>
    </w:rPr>
  </w:style>
  <w:style w:type="character" w:customStyle="1" w:styleId="28">
    <w:name w:val="标题 4 字符"/>
    <w:link w:val="6"/>
    <w:qFormat/>
    <w:uiPriority w:val="0"/>
    <w:rPr>
      <w:rFonts w:ascii="Times New Roman" w:hAnsi="Times New Roman" w:eastAsia="仿宋"/>
      <w:bCs/>
      <w:sz w:val="28"/>
      <w:szCs w:val="24"/>
    </w:rPr>
  </w:style>
  <w:style w:type="character" w:customStyle="1" w:styleId="29">
    <w:name w:val="标题 1 字符"/>
    <w:basedOn w:val="25"/>
    <w:link w:val="3"/>
    <w:qFormat/>
    <w:uiPriority w:val="9"/>
    <w:rPr>
      <w:b/>
      <w:bCs/>
      <w:kern w:val="44"/>
      <w:sz w:val="32"/>
      <w:szCs w:val="44"/>
    </w:rPr>
  </w:style>
  <w:style w:type="character" w:customStyle="1" w:styleId="30">
    <w:name w:val="标题 2 字符"/>
    <w:basedOn w:val="25"/>
    <w:link w:val="4"/>
    <w:qFormat/>
    <w:uiPriority w:val="9"/>
    <w:rPr>
      <w:rFonts w:asciiTheme="majorHAnsi" w:hAnsiTheme="majorHAnsi" w:eastAsiaTheme="majorEastAsia" w:cstheme="majorBidi"/>
      <w:b/>
      <w:bCs/>
      <w:sz w:val="28"/>
      <w:szCs w:val="32"/>
    </w:rPr>
  </w:style>
  <w:style w:type="character" w:customStyle="1" w:styleId="31">
    <w:name w:val="标题 3 字符"/>
    <w:basedOn w:val="25"/>
    <w:link w:val="5"/>
    <w:qFormat/>
    <w:uiPriority w:val="9"/>
    <w:rPr>
      <w:rFonts w:eastAsia="仿宋" w:asciiTheme="minorHAnsi" w:hAnsiTheme="minorHAnsi"/>
      <w:bCs/>
      <w:sz w:val="28"/>
      <w:szCs w:val="32"/>
    </w:rPr>
  </w:style>
  <w:style w:type="character" w:customStyle="1" w:styleId="32">
    <w:name w:val="标题 5 字符"/>
    <w:basedOn w:val="25"/>
    <w:link w:val="7"/>
    <w:qFormat/>
    <w:uiPriority w:val="0"/>
    <w:rPr>
      <w:rFonts w:eastAsia="仿宋" w:asciiTheme="minorHAnsi" w:hAnsiTheme="minorHAnsi"/>
      <w:bCs/>
      <w:sz w:val="28"/>
      <w:szCs w:val="28"/>
    </w:rPr>
  </w:style>
  <w:style w:type="character" w:customStyle="1" w:styleId="33">
    <w:name w:val="标题 6 字符"/>
    <w:basedOn w:val="25"/>
    <w:link w:val="8"/>
    <w:qFormat/>
    <w:uiPriority w:val="0"/>
    <w:rPr>
      <w:rFonts w:asciiTheme="majorHAnsi" w:hAnsiTheme="majorHAnsi" w:eastAsiaTheme="majorEastAsia" w:cstheme="majorBidi"/>
      <w:b/>
      <w:bCs/>
      <w:sz w:val="24"/>
      <w:szCs w:val="24"/>
    </w:rPr>
  </w:style>
  <w:style w:type="character" w:customStyle="1" w:styleId="34">
    <w:name w:val="标题 7 字符"/>
    <w:basedOn w:val="25"/>
    <w:link w:val="9"/>
    <w:semiHidden/>
    <w:qFormat/>
    <w:uiPriority w:val="9"/>
    <w:rPr>
      <w:b/>
      <w:bCs/>
      <w:sz w:val="24"/>
      <w:szCs w:val="24"/>
    </w:rPr>
  </w:style>
  <w:style w:type="character" w:customStyle="1" w:styleId="35">
    <w:name w:val="正文文本缩进 2 字符"/>
    <w:basedOn w:val="25"/>
    <w:link w:val="16"/>
    <w:qFormat/>
    <w:uiPriority w:val="0"/>
  </w:style>
  <w:style w:type="character" w:customStyle="1" w:styleId="36">
    <w:name w:val="批注文字 字符"/>
    <w:basedOn w:val="25"/>
    <w:link w:val="11"/>
    <w:semiHidden/>
    <w:qFormat/>
    <w:uiPriority w:val="99"/>
  </w:style>
  <w:style w:type="character" w:customStyle="1" w:styleId="37">
    <w:name w:val="正文文本 字符"/>
    <w:basedOn w:val="25"/>
    <w:link w:val="12"/>
    <w:qFormat/>
    <w:uiPriority w:val="0"/>
  </w:style>
  <w:style w:type="character" w:customStyle="1" w:styleId="38">
    <w:name w:val="正文文本首行缩进 字符"/>
    <w:basedOn w:val="37"/>
    <w:link w:val="13"/>
    <w:qFormat/>
    <w:uiPriority w:val="0"/>
  </w:style>
  <w:style w:type="character" w:customStyle="1" w:styleId="39">
    <w:name w:val="页脚 字符"/>
    <w:basedOn w:val="25"/>
    <w:link w:val="17"/>
    <w:qFormat/>
    <w:uiPriority w:val="99"/>
    <w:rPr>
      <w:sz w:val="18"/>
      <w:szCs w:val="18"/>
    </w:rPr>
  </w:style>
  <w:style w:type="character" w:customStyle="1" w:styleId="40">
    <w:name w:val="页眉 字符"/>
    <w:basedOn w:val="25"/>
    <w:link w:val="18"/>
    <w:qFormat/>
    <w:uiPriority w:val="99"/>
    <w:rPr>
      <w:sz w:val="18"/>
      <w:szCs w:val="18"/>
    </w:rPr>
  </w:style>
  <w:style w:type="character" w:customStyle="1" w:styleId="41">
    <w:name w:val="标题 字符"/>
    <w:basedOn w:val="25"/>
    <w:link w:val="21"/>
    <w:qFormat/>
    <w:uiPriority w:val="10"/>
    <w:rPr>
      <w:rFonts w:asciiTheme="majorHAnsi" w:hAnsiTheme="majorHAnsi" w:eastAsiaTheme="majorEastAsia" w:cstheme="majorBidi"/>
      <w:b/>
      <w:bCs/>
      <w:sz w:val="32"/>
      <w:szCs w:val="32"/>
    </w:rPr>
  </w:style>
  <w:style w:type="character" w:customStyle="1" w:styleId="42">
    <w:name w:val="批注主题 字符"/>
    <w:basedOn w:val="36"/>
    <w:link w:val="22"/>
    <w:semiHidden/>
    <w:qFormat/>
    <w:uiPriority w:val="99"/>
    <w:rPr>
      <w:b/>
      <w:bCs/>
    </w:rPr>
  </w:style>
  <w:style w:type="paragraph" w:styleId="43">
    <w:name w:val="List Paragraph"/>
    <w:basedOn w:val="1"/>
    <w:qFormat/>
    <w:uiPriority w:val="34"/>
    <w:pPr>
      <w:ind w:firstLine="420" w:firstLineChars="200"/>
    </w:pPr>
    <w:rPr>
      <w:rFonts w:eastAsiaTheme="minorEastAsia"/>
      <w:sz w:val="21"/>
    </w:rPr>
  </w:style>
  <w:style w:type="paragraph" w:customStyle="1" w:styleId="44">
    <w:name w:val="列出段落1"/>
    <w:basedOn w:val="1"/>
    <w:qFormat/>
    <w:uiPriority w:val="34"/>
    <w:pPr>
      <w:ind w:firstLine="420" w:firstLineChars="200"/>
    </w:pPr>
    <w:rPr>
      <w:rFonts w:ascii="Calibri" w:hAnsi="Calibri" w:eastAsiaTheme="minorEastAsia"/>
      <w:sz w:val="21"/>
    </w:rPr>
  </w:style>
  <w:style w:type="paragraph" w:customStyle="1" w:styleId="45">
    <w:name w:val="石墨文档正文"/>
    <w:qFormat/>
    <w:uiPriority w:val="0"/>
    <w:rPr>
      <w:rFonts w:ascii="微软雅黑" w:hAnsi="微软雅黑" w:eastAsia="微软雅黑" w:cs="微软雅黑"/>
      <w:sz w:val="22"/>
      <w:szCs w:val="22"/>
      <w:lang w:val="en-US" w:eastAsia="zh-CN" w:bidi="ar-SA"/>
    </w:rPr>
  </w:style>
  <w:style w:type="paragraph" w:customStyle="1" w:styleId="46">
    <w:name w:val="石墨文档小标题"/>
    <w:next w:val="45"/>
    <w:unhideWhenUsed/>
    <w:qFormat/>
    <w:uiPriority w:val="9"/>
    <w:pPr>
      <w:spacing w:before="260" w:after="260"/>
      <w:outlineLvl w:val="2"/>
    </w:pPr>
    <w:rPr>
      <w:rFonts w:ascii="微软雅黑" w:hAnsi="微软雅黑" w:eastAsia="微软雅黑" w:cs="微软雅黑"/>
      <w:b/>
      <w:bCs/>
      <w:sz w:val="32"/>
      <w:szCs w:val="32"/>
      <w:lang w:val="en-US" w:eastAsia="zh-CN" w:bidi="ar-SA"/>
    </w:rPr>
  </w:style>
  <w:style w:type="paragraph" w:customStyle="1" w:styleId="47">
    <w:name w:val="石墨文档标题 2"/>
    <w:next w:val="45"/>
    <w:unhideWhenUsed/>
    <w:qFormat/>
    <w:uiPriority w:val="9"/>
    <w:pPr>
      <w:spacing w:before="260" w:after="260"/>
      <w:outlineLvl w:val="1"/>
    </w:pPr>
    <w:rPr>
      <w:rFonts w:ascii="微软雅黑" w:hAnsi="微软雅黑" w:eastAsia="微软雅黑" w:cs="微软雅黑"/>
      <w:b/>
      <w:bCs/>
      <w:sz w:val="28"/>
      <w:szCs w:val="28"/>
      <w:lang w:val="en-US" w:eastAsia="zh-CN" w:bidi="ar-SA"/>
    </w:rPr>
  </w:style>
  <w:style w:type="paragraph" w:customStyle="1" w:styleId="48">
    <w:name w:val="石墨文档标题 3"/>
    <w:next w:val="45"/>
    <w:unhideWhenUsed/>
    <w:qFormat/>
    <w:uiPriority w:val="9"/>
    <w:pPr>
      <w:spacing w:before="260" w:after="260"/>
      <w:outlineLvl w:val="2"/>
    </w:pPr>
    <w:rPr>
      <w:rFonts w:ascii="微软雅黑" w:hAnsi="微软雅黑" w:eastAsia="微软雅黑" w:cs="微软雅黑"/>
      <w:b/>
      <w:bCs/>
      <w:sz w:val="26"/>
      <w:szCs w:val="26"/>
      <w:lang w:val="en-US" w:eastAsia="zh-CN" w:bidi="ar-SA"/>
    </w:rPr>
  </w:style>
  <w:style w:type="paragraph" w:customStyle="1" w:styleId="49">
    <w:name w:val="石墨文档标题 4"/>
    <w:next w:val="45"/>
    <w:unhideWhenUsed/>
    <w:qFormat/>
    <w:uiPriority w:val="9"/>
    <w:pPr>
      <w:spacing w:before="260" w:after="260"/>
      <w:outlineLvl w:val="3"/>
    </w:pPr>
    <w:rPr>
      <w:rFonts w:ascii="微软雅黑" w:hAnsi="微软雅黑" w:eastAsia="微软雅黑" w:cs="微软雅黑"/>
      <w:b/>
      <w:bCs/>
      <w:sz w:val="24"/>
      <w:szCs w:val="24"/>
      <w:lang w:val="en-US" w:eastAsia="zh-CN" w:bidi="ar-SA"/>
    </w:rPr>
  </w:style>
  <w:style w:type="paragraph" w:customStyle="1" w:styleId="50">
    <w:name w:val="石墨文档标题 1"/>
    <w:next w:val="45"/>
    <w:unhideWhenUsed/>
    <w:qFormat/>
    <w:uiPriority w:val="9"/>
    <w:pPr>
      <w:spacing w:before="260" w:after="260"/>
      <w:outlineLvl w:val="0"/>
    </w:pPr>
    <w:rPr>
      <w:rFonts w:ascii="微软雅黑" w:hAnsi="微软雅黑" w:eastAsia="微软雅黑" w:cs="微软雅黑"/>
      <w:b/>
      <w:bCs/>
      <w:sz w:val="32"/>
      <w:szCs w:val="32"/>
      <w:lang w:val="en-US" w:eastAsia="zh-CN" w:bidi="ar-SA"/>
    </w:rPr>
  </w:style>
  <w:style w:type="paragraph" w:customStyle="1" w:styleId="5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3">
    <w:name w:val="TOC 标题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54">
    <w:name w:val="WPSOffice手动目录 1"/>
    <w:qFormat/>
    <w:uiPriority w:val="0"/>
    <w:rPr>
      <w:rFonts w:asciiTheme="minorHAnsi" w:hAnsiTheme="minorHAnsi" w:eastAsiaTheme="minorEastAsia" w:cstheme="minorBidi"/>
      <w:lang w:val="en-US" w:eastAsia="zh-CN" w:bidi="ar-SA"/>
    </w:rPr>
  </w:style>
  <w:style w:type="paragraph" w:customStyle="1" w:styleId="55">
    <w:name w:val="jq4图片"/>
    <w:next w:val="56"/>
    <w:qFormat/>
    <w:uiPriority w:val="0"/>
    <w:pPr>
      <w:spacing w:before="50" w:after="50" w:line="300" w:lineRule="auto"/>
      <w:ind w:firstLine="200"/>
      <w:jc w:val="center"/>
    </w:pPr>
    <w:rPr>
      <w:rFonts w:ascii="Arial" w:hAnsi="Arial" w:eastAsia="宋体" w:cs="Times New Roman"/>
      <w:kern w:val="2"/>
      <w:sz w:val="21"/>
      <w:szCs w:val="24"/>
      <w:lang w:val="en-US" w:eastAsia="zh-CN" w:bidi="ar-SA"/>
    </w:rPr>
  </w:style>
  <w:style w:type="paragraph" w:customStyle="1" w:styleId="56">
    <w:name w:val="jq4图片注释"/>
    <w:next w:val="1"/>
    <w:qFormat/>
    <w:uiPriority w:val="0"/>
    <w:pPr>
      <w:numPr>
        <w:ilvl w:val="0"/>
        <w:numId w:val="2"/>
      </w:numPr>
      <w:spacing w:before="20" w:after="50" w:line="360" w:lineRule="auto"/>
      <w:ind w:right="210" w:rightChars="100"/>
      <w:jc w:val="both"/>
    </w:pPr>
    <w:rPr>
      <w:rFonts w:ascii="Times New Roman" w:hAnsi="Times New Roman" w:eastAsia="宋体" w:cs="Times New Roman"/>
      <w:kern w:val="2"/>
      <w:sz w:val="18"/>
      <w:szCs w:val="24"/>
      <w:lang w:val="en-US" w:eastAsia="zh-CN" w:bidi="ar-SA"/>
    </w:rPr>
  </w:style>
  <w:style w:type="character" w:customStyle="1" w:styleId="57">
    <w:name w:val="jq3按钮"/>
    <w:qFormat/>
    <w:uiPriority w:val="0"/>
    <w:rPr>
      <w:rFonts w:eastAsia="仿宋_GB2312"/>
      <w:sz w:val="24"/>
      <w:szCs w:val="21"/>
      <w:bdr w:val="single" w:color="auto" w:sz="4" w:space="0"/>
      <w:shd w:val="clear" w:color="auto" w:fill="CCCCCC"/>
    </w:rPr>
  </w:style>
  <w:style w:type="paragraph" w:customStyle="1" w:styleId="58">
    <w:name w:val="jq2编号1"/>
    <w:qFormat/>
    <w:uiPriority w:val="0"/>
    <w:pPr>
      <w:numPr>
        <w:ilvl w:val="0"/>
        <w:numId w:val="3"/>
      </w:numPr>
      <w:spacing w:before="50" w:after="50" w:line="300" w:lineRule="auto"/>
    </w:pPr>
    <w:rPr>
      <w:rFonts w:ascii="Arial" w:hAnsi="Arial" w:eastAsia="仿宋_GB2312" w:cs="Times New Roman"/>
      <w:kern w:val="2"/>
      <w:sz w:val="24"/>
      <w:szCs w:val="24"/>
      <w:lang w:val="en-US" w:eastAsia="zh-CN" w:bidi="ar-SA"/>
    </w:rPr>
  </w:style>
  <w:style w:type="paragraph" w:customStyle="1" w:styleId="59">
    <w:name w:val="jq正文"/>
    <w:qFormat/>
    <w:uiPriority w:val="0"/>
    <w:pPr>
      <w:widowControl w:val="0"/>
      <w:numPr>
        <w:ilvl w:val="0"/>
        <w:numId w:val="4"/>
      </w:numPr>
      <w:ind w:left="170"/>
      <w:jc w:val="both"/>
    </w:pPr>
    <w:rPr>
      <w:rFonts w:ascii="宋体" w:hAnsi="宋体" w:eastAsia="仿宋_GB2312" w:cs="宋体"/>
      <w:b/>
      <w:kern w:val="2"/>
      <w:sz w:val="24"/>
      <w:szCs w:val="21"/>
      <w:lang w:val="en-US" w:eastAsia="zh-CN" w:bidi="ar-SA"/>
    </w:rPr>
  </w:style>
  <w:style w:type="paragraph" w:customStyle="1" w:styleId="60">
    <w:name w:val="样式 jq4图片注释 + 左侧:  0.35 厘米 首行缩进:  0 厘米"/>
    <w:basedOn w:val="56"/>
    <w:qFormat/>
    <w:uiPriority w:val="0"/>
    <w:pPr>
      <w:numPr>
        <w:numId w:val="5"/>
      </w:numPr>
      <w:tabs>
        <w:tab w:val="left" w:pos="600"/>
      </w:tabs>
    </w:pPr>
    <w:rPr>
      <w:rFonts w:cs="宋体"/>
      <w:szCs w:val="20"/>
    </w:rPr>
  </w:style>
  <w:style w:type="paragraph" w:customStyle="1" w:styleId="61">
    <w:name w:val="jq30注意"/>
    <w:next w:val="1"/>
    <w:qFormat/>
    <w:uiPriority w:val="0"/>
    <w:pPr>
      <w:pBdr>
        <w:top w:val="single" w:color="auto" w:sz="4" w:space="1"/>
        <w:left w:val="single" w:color="auto" w:sz="4" w:space="0"/>
        <w:bottom w:val="single" w:color="auto" w:sz="4" w:space="1"/>
        <w:right w:val="single" w:color="auto" w:sz="4" w:space="0"/>
      </w:pBdr>
      <w:tabs>
        <w:tab w:val="left" w:pos="845"/>
        <w:tab w:val="left" w:pos="908"/>
      </w:tabs>
      <w:spacing w:beforeLines="50" w:after="50" w:line="300" w:lineRule="auto"/>
      <w:ind w:left="908" w:hanging="420"/>
    </w:pPr>
    <w:rPr>
      <w:rFonts w:ascii="Arial" w:hAnsi="Arial" w:eastAsia="仿宋_GB2312" w:cstheme="minorBidi"/>
      <w:color w:val="000000"/>
      <w:kern w:val="2"/>
      <w:sz w:val="21"/>
      <w:szCs w:val="24"/>
      <w:lang w:val="en-US" w:eastAsia="zh-CN" w:bidi="ar-SA"/>
    </w:rPr>
  </w:style>
  <w:style w:type="paragraph" w:customStyle="1" w:styleId="62">
    <w:name w:val="第几步"/>
    <w:basedOn w:val="1"/>
    <w:qFormat/>
    <w:uiPriority w:val="0"/>
    <w:rPr>
      <w:rFonts w:ascii="Times New Roman" w:hAnsi="Times New Roman" w:eastAsia="宋体" w:cs="Times New Roman"/>
      <w:szCs w:val="21"/>
    </w:rPr>
  </w:style>
  <w:style w:type="paragraph" w:customStyle="1" w:styleId="63">
    <w:name w:val="图标"/>
    <w:basedOn w:val="56"/>
    <w:qFormat/>
    <w:uiPriority w:val="0"/>
    <w:pPr>
      <w:numPr>
        <w:ilvl w:val="0"/>
        <w:numId w:val="0"/>
      </w:numPr>
      <w:tabs>
        <w:tab w:val="left" w:pos="908"/>
      </w:tabs>
      <w:ind w:left="908" w:hanging="420"/>
    </w:pPr>
  </w:style>
  <w:style w:type="paragraph" w:customStyle="1" w:styleId="64">
    <w:name w:val="文档正文"/>
    <w:qFormat/>
    <w:uiPriority w:val="0"/>
    <w:pPr>
      <w:widowControl w:val="0"/>
      <w:spacing w:line="360" w:lineRule="auto"/>
      <w:ind w:firstLine="480" w:firstLineChars="200"/>
      <w:jc w:val="both"/>
    </w:pPr>
    <w:rPr>
      <w:rFonts w:eastAsia="仿宋" w:asciiTheme="minorHAnsi" w:hAnsiTheme="minorHAnsi" w:cstheme="minorBidi"/>
      <w:kern w:val="2"/>
      <w:sz w:val="24"/>
      <w:szCs w:val="24"/>
      <w:lang w:val="en-US" w:eastAsia="zh-CN" w:bidi="ar-SA"/>
    </w:rPr>
  </w:style>
  <w:style w:type="paragraph" w:customStyle="1" w:styleId="65">
    <w:name w:val="jq2列表编号1"/>
    <w:qFormat/>
    <w:uiPriority w:val="0"/>
    <w:pPr>
      <w:tabs>
        <w:tab w:val="left" w:pos="363"/>
      </w:tabs>
      <w:ind w:left="432" w:hanging="432"/>
    </w:pPr>
    <w:rPr>
      <w:rFonts w:ascii="宋体" w:hAnsi="Arial" w:eastAsia="宋体" w:cs="Times New Roman"/>
      <w:kern w:val="2"/>
      <w:sz w:val="21"/>
      <w:szCs w:val="21"/>
      <w:lang w:val="en-US" w:eastAsia="zh-CN" w:bidi="ar-SA"/>
    </w:rPr>
  </w:style>
  <w:style w:type="paragraph" w:customStyle="1" w:styleId="66">
    <w:name w:val="JQ正文 Char"/>
    <w:qFormat/>
    <w:uiPriority w:val="0"/>
    <w:pPr>
      <w:spacing w:line="288" w:lineRule="auto"/>
      <w:ind w:firstLine="200" w:firstLineChars="200"/>
    </w:pPr>
    <w:rPr>
      <w:rFonts w:ascii="幼圆" w:hAnsi="幼圆" w:eastAsia="宋体" w:cs="幼圆"/>
      <w:kern w:val="2"/>
      <w:sz w:val="21"/>
      <w:szCs w:val="21"/>
      <w:lang w:val="en-US" w:eastAsia="zh-CN" w:bidi="ar-SA"/>
    </w:rPr>
  </w:style>
  <w:style w:type="paragraph" w:customStyle="1" w:styleId="67">
    <w:name w:val="编号3"/>
    <w:qFormat/>
    <w:uiPriority w:val="0"/>
    <w:pPr>
      <w:numPr>
        <w:ilvl w:val="1"/>
        <w:numId w:val="6"/>
      </w:numPr>
      <w:tabs>
        <w:tab w:val="left" w:pos="840"/>
      </w:tabs>
      <w:spacing w:before="156" w:beforeLines="50" w:after="156" w:afterLines="50" w:line="300" w:lineRule="auto"/>
      <w:ind w:firstLine="420" w:firstLineChars="200"/>
    </w:pPr>
    <w:rPr>
      <w:rFonts w:ascii="宋体" w:hAnsi="Arial" w:eastAsia="宋体" w:cs="Times New Roman"/>
      <w:kern w:val="2"/>
      <w:sz w:val="24"/>
      <w:szCs w:val="21"/>
      <w:lang w:val="en-US" w:eastAsia="zh-CN" w:bidi="ar-SA"/>
    </w:rPr>
  </w:style>
  <w:style w:type="paragraph" w:customStyle="1" w:styleId="68">
    <w:name w:val="jq3标注段"/>
    <w:next w:val="1"/>
    <w:qFormat/>
    <w:uiPriority w:val="0"/>
    <w:pPr>
      <w:numPr>
        <w:ilvl w:val="0"/>
        <w:numId w:val="7"/>
      </w:numPr>
      <w:tabs>
        <w:tab w:val="left" w:pos="420"/>
        <w:tab w:val="left" w:pos="787"/>
      </w:tabs>
      <w:spacing w:before="160" w:after="120" w:line="377" w:lineRule="auto"/>
      <w:ind w:right="200" w:rightChars="200"/>
    </w:pPr>
    <w:rPr>
      <w:rFonts w:ascii="楷体_GB2312" w:hAnsi="楷体_GB2312" w:eastAsia="楷体_GB2312" w:cstheme="minorBidi"/>
      <w:kern w:val="2"/>
      <w:sz w:val="21"/>
      <w:szCs w:val="21"/>
      <w:lang w:val="en-US" w:eastAsia="zh-CN" w:bidi="ar-SA"/>
    </w:rPr>
  </w:style>
  <w:style w:type="paragraph" w:customStyle="1" w:styleId="69">
    <w:name w:val="jq2列表编号2"/>
    <w:qFormat/>
    <w:uiPriority w:val="0"/>
    <w:pPr>
      <w:numPr>
        <w:ilvl w:val="1"/>
        <w:numId w:val="7"/>
      </w:numPr>
      <w:tabs>
        <w:tab w:val="left" w:pos="176"/>
      </w:tabs>
    </w:pPr>
    <w:rPr>
      <w:rFonts w:ascii="Arial" w:hAnsi="Arial" w:eastAsia="宋体" w:cs="Times New Roman"/>
      <w:kern w:val="2"/>
      <w:sz w:val="21"/>
      <w:szCs w:val="24"/>
      <w:lang w:val="en-US" w:eastAsia="zh-CN" w:bidi="ar-SA"/>
    </w:rPr>
  </w:style>
  <w:style w:type="paragraph" w:customStyle="1" w:styleId="70">
    <w:name w:val="编号2"/>
    <w:qFormat/>
    <w:uiPriority w:val="0"/>
    <w:pPr>
      <w:widowControl w:val="0"/>
      <w:tabs>
        <w:tab w:val="left" w:pos="105"/>
        <w:tab w:val="left" w:pos="198"/>
      </w:tabs>
      <w:spacing w:line="288" w:lineRule="auto"/>
      <w:ind w:left="834" w:hanging="634" w:firstLineChars="200"/>
      <w:jc w:val="both"/>
    </w:pPr>
    <w:rPr>
      <w:rFonts w:ascii="宋体" w:hAnsi="宋体" w:eastAsia="宋体" w:cs="宋体"/>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microsoft.com/office/2006/relationships/keyMapCustomizations" Target="customizations.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775</Words>
  <Characters>4422</Characters>
  <Lines>36</Lines>
  <Paragraphs>10</Paragraphs>
  <TotalTime>11</TotalTime>
  <ScaleCrop>false</ScaleCrop>
  <LinksUpToDate>false</LinksUpToDate>
  <CharactersWithSpaces>5187</CharactersWithSpaces>
  <Application>WPS Office_4.6.1.7451_F1E327BC-269C-435d-A152-05C5408002CA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2021-12-21T22:34:00Z</dcterms:created>
  <dc:creator>zzc</dc:creator>
  <cp:lastModifiedBy>迷你辉</cp:lastModifiedBy>
  <dcterms:modified xsi:type="dcterms:W3CDTF">2023-02-28T09:17:09Z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2052-4.6.1.7451</vt:lpwstr>
  </property>
  <property fmtid="{D5CDD505-2E9C-101B-9397-08002B2CF9AE}" pid="3" name="ICV">
    <vt:lpwstr>BFFCBA48AAE64A9B1556FD6389CED5C8</vt:lpwstr>
  </property>
</Properties>
</file>